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0C83">
      <w:pPr>
        <w:snapToGrid w:val="0"/>
        <w:spacing w:line="360" w:lineRule="auto"/>
        <w:jc w:val="center"/>
        <w:rPr>
          <w:rFonts w:ascii="宋体" w:cs="Times New Roman"/>
          <w:b/>
          <w:bCs/>
          <w:color w:val="auto"/>
          <w:sz w:val="44"/>
          <w:szCs w:val="44"/>
          <w:highlight w:val="none"/>
        </w:rPr>
      </w:pPr>
    </w:p>
    <w:p w14:paraId="7FD51930">
      <w:pPr>
        <w:snapToGrid w:val="0"/>
        <w:spacing w:line="360" w:lineRule="auto"/>
        <w:jc w:val="center"/>
        <w:rPr>
          <w:rFonts w:hint="eastAsia" w:ascii="宋体" w:eastAsia="宋体" w:cs="Times New Roman"/>
          <w:bCs/>
          <w:color w:val="auto"/>
          <w:sz w:val="48"/>
          <w:szCs w:val="48"/>
          <w:highlight w:val="none"/>
          <w:lang w:eastAsia="zh-CN"/>
        </w:rPr>
      </w:pPr>
      <w:r>
        <w:rPr>
          <w:rFonts w:hint="eastAsia" w:ascii="宋体" w:cs="Times New Roman"/>
          <w:bCs/>
          <w:color w:val="auto"/>
          <w:sz w:val="48"/>
          <w:szCs w:val="48"/>
          <w:highlight w:val="none"/>
          <w:lang w:val="en-US" w:eastAsia="zh-CN"/>
        </w:rPr>
        <w:t>西永综保区进口整车展示及存储中心及周边配套工程—广达生活区A线道路东延段工程</w:t>
      </w:r>
      <w:r>
        <w:rPr>
          <w:rFonts w:hint="eastAsia" w:ascii="宋体" w:cs="Times New Roman"/>
          <w:bCs/>
          <w:color w:val="auto"/>
          <w:sz w:val="48"/>
          <w:szCs w:val="48"/>
          <w:highlight w:val="none"/>
        </w:rPr>
        <w:t>第三方</w:t>
      </w:r>
      <w:r>
        <w:rPr>
          <w:rFonts w:hint="eastAsia" w:ascii="宋体" w:cs="Times New Roman"/>
          <w:bCs/>
          <w:color w:val="auto"/>
          <w:sz w:val="48"/>
          <w:szCs w:val="48"/>
          <w:highlight w:val="none"/>
          <w:lang w:val="en-US" w:eastAsia="zh-CN"/>
        </w:rPr>
        <w:t>涉轨</w:t>
      </w:r>
      <w:r>
        <w:rPr>
          <w:rFonts w:hint="eastAsia" w:ascii="宋体" w:cs="Times New Roman"/>
          <w:bCs/>
          <w:color w:val="auto"/>
          <w:sz w:val="48"/>
          <w:szCs w:val="48"/>
          <w:highlight w:val="none"/>
        </w:rPr>
        <w:t>监测</w:t>
      </w:r>
    </w:p>
    <w:p w14:paraId="19B39836">
      <w:pPr>
        <w:pStyle w:val="21"/>
        <w:snapToGrid w:val="0"/>
        <w:spacing w:line="1200" w:lineRule="exact"/>
        <w:jc w:val="center"/>
        <w:rPr>
          <w:b/>
          <w:color w:val="auto"/>
          <w:sz w:val="74"/>
          <w:szCs w:val="74"/>
          <w:highlight w:val="none"/>
        </w:rPr>
      </w:pPr>
      <w:r>
        <w:rPr>
          <w:b/>
          <w:color w:val="auto"/>
          <w:sz w:val="74"/>
          <w:szCs w:val="74"/>
          <w:highlight w:val="none"/>
        </w:rPr>
        <w:t xml:space="preserve"> </w:t>
      </w:r>
    </w:p>
    <w:p w14:paraId="176487B4">
      <w:pPr>
        <w:pStyle w:val="21"/>
        <w:snapToGrid w:val="0"/>
        <w:spacing w:line="1200" w:lineRule="exact"/>
        <w:jc w:val="center"/>
        <w:rPr>
          <w:b/>
          <w:color w:val="auto"/>
          <w:sz w:val="74"/>
          <w:szCs w:val="74"/>
          <w:highlight w:val="none"/>
        </w:rPr>
      </w:pPr>
      <w:r>
        <w:rPr>
          <w:b/>
          <w:color w:val="auto"/>
          <w:sz w:val="74"/>
          <w:szCs w:val="74"/>
          <w:highlight w:val="none"/>
        </w:rPr>
        <w:t xml:space="preserve"> </w:t>
      </w:r>
      <w:bookmarkStart w:id="3" w:name="_GoBack"/>
      <w:bookmarkEnd w:id="3"/>
    </w:p>
    <w:p w14:paraId="0484FBC1">
      <w:pPr>
        <w:pStyle w:val="21"/>
        <w:snapToGrid w:val="0"/>
        <w:spacing w:line="1200" w:lineRule="exact"/>
        <w:jc w:val="center"/>
        <w:rPr>
          <w:b/>
          <w:color w:val="auto"/>
          <w:sz w:val="74"/>
          <w:szCs w:val="74"/>
          <w:highlight w:val="none"/>
        </w:rPr>
      </w:pPr>
    </w:p>
    <w:p w14:paraId="3315A30A">
      <w:pPr>
        <w:pStyle w:val="21"/>
        <w:snapToGrid w:val="0"/>
        <w:spacing w:line="1200" w:lineRule="exact"/>
        <w:jc w:val="center"/>
        <w:rPr>
          <w:b/>
          <w:color w:val="auto"/>
          <w:sz w:val="74"/>
          <w:szCs w:val="74"/>
          <w:highlight w:val="none"/>
        </w:rPr>
      </w:pPr>
      <w:r>
        <w:rPr>
          <w:b/>
          <w:color w:val="auto"/>
          <w:sz w:val="74"/>
          <w:szCs w:val="74"/>
          <w:highlight w:val="none"/>
        </w:rPr>
        <w:t>竞争性比选文件</w:t>
      </w:r>
    </w:p>
    <w:p w14:paraId="3904F75A">
      <w:pPr>
        <w:snapToGrid w:val="0"/>
        <w:spacing w:line="760" w:lineRule="exact"/>
        <w:jc w:val="both"/>
        <w:rPr>
          <w:rFonts w:ascii="宋体" w:cs="Times New Roman"/>
          <w:b/>
          <w:bCs/>
          <w:color w:val="auto"/>
          <w:sz w:val="30"/>
          <w:szCs w:val="30"/>
          <w:highlight w:val="none"/>
        </w:rPr>
      </w:pPr>
      <w:r>
        <w:rPr>
          <w:rFonts w:ascii="宋体" w:cs="Times New Roman"/>
          <w:b/>
          <w:bCs/>
          <w:color w:val="auto"/>
          <w:sz w:val="30"/>
          <w:szCs w:val="30"/>
          <w:highlight w:val="none"/>
        </w:rPr>
        <w:t xml:space="preserve"> </w:t>
      </w:r>
    </w:p>
    <w:p w14:paraId="5EEF9079">
      <w:pPr>
        <w:snapToGrid w:val="0"/>
        <w:spacing w:line="760" w:lineRule="exact"/>
        <w:jc w:val="both"/>
        <w:rPr>
          <w:rFonts w:ascii="宋体" w:cs="Times New Roman"/>
          <w:b/>
          <w:bCs/>
          <w:color w:val="auto"/>
          <w:sz w:val="30"/>
          <w:szCs w:val="30"/>
          <w:highlight w:val="none"/>
        </w:rPr>
      </w:pPr>
      <w:r>
        <w:rPr>
          <w:rFonts w:ascii="宋体" w:cs="Times New Roman"/>
          <w:b/>
          <w:bCs/>
          <w:color w:val="auto"/>
          <w:sz w:val="30"/>
          <w:szCs w:val="30"/>
          <w:highlight w:val="none"/>
        </w:rPr>
        <w:t xml:space="preserve"> </w:t>
      </w:r>
    </w:p>
    <w:p w14:paraId="704D02A3">
      <w:pPr>
        <w:snapToGrid w:val="0"/>
        <w:spacing w:line="760" w:lineRule="exact"/>
        <w:jc w:val="both"/>
        <w:rPr>
          <w:rFonts w:ascii="宋体" w:cs="Times New Roman"/>
          <w:b/>
          <w:bCs/>
          <w:color w:val="auto"/>
          <w:sz w:val="30"/>
          <w:szCs w:val="30"/>
          <w:highlight w:val="none"/>
        </w:rPr>
      </w:pPr>
      <w:r>
        <w:rPr>
          <w:rFonts w:ascii="宋体" w:cs="Times New Roman"/>
          <w:b/>
          <w:bCs/>
          <w:color w:val="auto"/>
          <w:sz w:val="30"/>
          <w:szCs w:val="30"/>
          <w:highlight w:val="none"/>
        </w:rPr>
        <w:t xml:space="preserve"> </w:t>
      </w:r>
    </w:p>
    <w:p w14:paraId="2EF92B0A">
      <w:pPr>
        <w:snapToGrid w:val="0"/>
        <w:spacing w:line="760" w:lineRule="exact"/>
        <w:jc w:val="both"/>
        <w:rPr>
          <w:rFonts w:ascii="宋体" w:cs="Times New Roman"/>
          <w:b/>
          <w:bCs/>
          <w:color w:val="auto"/>
          <w:sz w:val="30"/>
          <w:szCs w:val="30"/>
          <w:highlight w:val="none"/>
        </w:rPr>
      </w:pPr>
    </w:p>
    <w:p w14:paraId="6E327987">
      <w:pPr>
        <w:snapToGrid w:val="0"/>
        <w:spacing w:line="760" w:lineRule="exact"/>
        <w:jc w:val="both"/>
        <w:rPr>
          <w:rFonts w:ascii="宋体" w:cs="Times New Roman"/>
          <w:b/>
          <w:bCs/>
          <w:color w:val="auto"/>
          <w:sz w:val="30"/>
          <w:szCs w:val="30"/>
          <w:highlight w:val="none"/>
        </w:rPr>
      </w:pPr>
      <w:r>
        <w:rPr>
          <w:rFonts w:ascii="宋体" w:cs="Times New Roman"/>
          <w:b/>
          <w:bCs/>
          <w:color w:val="auto"/>
          <w:sz w:val="30"/>
          <w:szCs w:val="30"/>
          <w:highlight w:val="none"/>
        </w:rPr>
        <w:t>比   选   人：</w:t>
      </w:r>
      <w:r>
        <w:rPr>
          <w:rFonts w:ascii="宋体" w:cs="Times New Roman"/>
          <w:b/>
          <w:bCs/>
          <w:color w:val="auto"/>
          <w:sz w:val="32"/>
          <w:szCs w:val="32"/>
          <w:highlight w:val="none"/>
        </w:rPr>
        <w:t>重庆科学城城市建设集团有限公司</w:t>
      </w:r>
      <w:r>
        <w:rPr>
          <w:rFonts w:ascii="宋体" w:cs="Times New Roman"/>
          <w:b/>
          <w:bCs/>
          <w:color w:val="auto"/>
          <w:sz w:val="30"/>
          <w:szCs w:val="30"/>
          <w:highlight w:val="none"/>
        </w:rPr>
        <w:t>（盖单位公章）</w:t>
      </w:r>
    </w:p>
    <w:p w14:paraId="0702E8D7">
      <w:pPr>
        <w:snapToGrid w:val="0"/>
        <w:spacing w:line="760" w:lineRule="exact"/>
        <w:ind w:firstLine="602" w:firstLineChars="200"/>
        <w:jc w:val="center"/>
        <w:rPr>
          <w:rFonts w:ascii="宋体" w:cs="Times New Roman"/>
          <w:b/>
          <w:bCs/>
          <w:color w:val="auto"/>
          <w:sz w:val="30"/>
          <w:szCs w:val="30"/>
          <w:highlight w:val="none"/>
        </w:rPr>
      </w:pPr>
      <w:r>
        <w:rPr>
          <w:rFonts w:ascii="宋体" w:cs="Times New Roman"/>
          <w:b/>
          <w:bCs/>
          <w:color w:val="auto"/>
          <w:sz w:val="30"/>
          <w:szCs w:val="30"/>
          <w:highlight w:val="none"/>
        </w:rPr>
        <w:t>202</w:t>
      </w:r>
      <w:r>
        <w:rPr>
          <w:rFonts w:hint="eastAsia" w:ascii="宋体" w:cs="Times New Roman"/>
          <w:b/>
          <w:bCs/>
          <w:color w:val="auto"/>
          <w:sz w:val="30"/>
          <w:szCs w:val="30"/>
          <w:highlight w:val="none"/>
          <w:lang w:val="en-US" w:eastAsia="zh-CN"/>
        </w:rPr>
        <w:t>5</w:t>
      </w:r>
      <w:r>
        <w:rPr>
          <w:rFonts w:ascii="宋体" w:cs="Times New Roman"/>
          <w:b/>
          <w:bCs/>
          <w:color w:val="auto"/>
          <w:sz w:val="30"/>
          <w:szCs w:val="30"/>
          <w:highlight w:val="none"/>
        </w:rPr>
        <w:t>年</w:t>
      </w:r>
      <w:r>
        <w:rPr>
          <w:rFonts w:hint="eastAsia" w:ascii="宋体" w:cs="Times New Roman"/>
          <w:b/>
          <w:bCs/>
          <w:color w:val="auto"/>
          <w:sz w:val="30"/>
          <w:szCs w:val="30"/>
          <w:highlight w:val="none"/>
          <w:lang w:val="en-US" w:eastAsia="zh-CN"/>
        </w:rPr>
        <w:t>11</w:t>
      </w:r>
      <w:r>
        <w:rPr>
          <w:rFonts w:ascii="宋体" w:cs="Times New Roman"/>
          <w:b/>
          <w:bCs/>
          <w:color w:val="auto"/>
          <w:sz w:val="30"/>
          <w:szCs w:val="30"/>
          <w:highlight w:val="none"/>
        </w:rPr>
        <w:t>月</w:t>
      </w:r>
    </w:p>
    <w:p w14:paraId="024F7D7A">
      <w:pPr>
        <w:snapToGrid w:val="0"/>
        <w:jc w:val="center"/>
        <w:rPr>
          <w:rFonts w:ascii="宋体" w:cs="Times New Roman"/>
          <w:b/>
          <w:bCs/>
          <w:color w:val="auto"/>
          <w:sz w:val="30"/>
          <w:szCs w:val="30"/>
          <w:highlight w:val="none"/>
        </w:rPr>
      </w:pPr>
      <w:r>
        <w:rPr>
          <w:rFonts w:ascii="宋体" w:cs="Times New Roman"/>
          <w:b/>
          <w:bCs/>
          <w:color w:val="auto"/>
          <w:sz w:val="30"/>
          <w:szCs w:val="30"/>
          <w:highlight w:val="none"/>
        </w:rPr>
        <w:br w:type="page"/>
      </w:r>
    </w:p>
    <w:p w14:paraId="50DBE031">
      <w:pPr>
        <w:snapToGrid w:val="0"/>
        <w:jc w:val="center"/>
        <w:rPr>
          <w:rFonts w:ascii="黑体" w:eastAsia="黑体"/>
          <w:b/>
          <w:color w:val="auto"/>
          <w:sz w:val="44"/>
          <w:szCs w:val="44"/>
          <w:highlight w:val="none"/>
        </w:rPr>
      </w:pPr>
      <w:r>
        <w:rPr>
          <w:rFonts w:ascii="黑体" w:eastAsia="黑体"/>
          <w:b/>
          <w:color w:val="auto"/>
          <w:sz w:val="44"/>
          <w:szCs w:val="44"/>
          <w:highlight w:val="none"/>
          <w:lang w:val="zh-CN"/>
        </w:rPr>
        <w:t>目  录</w:t>
      </w:r>
    </w:p>
    <w:p w14:paraId="6E35F02C">
      <w:pPr>
        <w:pStyle w:val="22"/>
        <w:tabs>
          <w:tab w:val="right" w:leader="dot" w:pos="9416"/>
        </w:tabs>
        <w:snapToGrid w:val="0"/>
        <w:spacing w:before="312" w:after="312"/>
        <w:rPr>
          <w:rFonts w:cs="Times New Roman"/>
          <w:b/>
          <w:bCs/>
          <w:color w:val="auto"/>
          <w:highlight w:val="none"/>
          <w:lang w:val="zh-CN"/>
        </w:rPr>
      </w:pPr>
    </w:p>
    <w:p w14:paraId="30C8A827">
      <w:pPr>
        <w:pStyle w:val="10"/>
        <w:tabs>
          <w:tab w:val="right" w:leader="dot" w:pos="9416"/>
        </w:tabs>
        <w:snapToGrid w:val="0"/>
        <w:rPr>
          <w:rFonts w:ascii="Times New Roman" w:hAnsi="Times New Roman"/>
          <w:b w:val="0"/>
          <w:caps w:val="0"/>
          <w:smallCaps w:val="0"/>
          <w:color w:val="auto"/>
          <w:sz w:val="24"/>
          <w:highlight w:val="none"/>
        </w:rPr>
      </w:pPr>
      <w:r>
        <w:rPr>
          <w:rFonts w:ascii="黑体" w:eastAsia="黑体"/>
          <w:bCs w:val="0"/>
          <w:color w:val="auto"/>
          <w:szCs w:val="44"/>
          <w:highlight w:val="none"/>
        </w:rPr>
        <w:t>第一章 竞争性比选公告</w:t>
      </w:r>
      <w:r>
        <w:rPr>
          <w:color w:val="auto"/>
          <w:highlight w:val="none"/>
        </w:rPr>
        <w:tab/>
      </w:r>
      <w:r>
        <w:rPr>
          <w:color w:val="auto"/>
          <w:highlight w:val="none"/>
        </w:rPr>
        <w:t>5</w:t>
      </w:r>
    </w:p>
    <w:p w14:paraId="2B019338">
      <w:pPr>
        <w:pStyle w:val="10"/>
        <w:tabs>
          <w:tab w:val="right" w:leader="dot" w:pos="9416"/>
        </w:tabs>
        <w:snapToGrid w:val="0"/>
        <w:rPr>
          <w:color w:val="auto"/>
          <w:highlight w:val="none"/>
        </w:rPr>
      </w:pPr>
      <w:r>
        <w:rPr>
          <w:rFonts w:ascii="黑体" w:eastAsia="黑体"/>
          <w:bCs w:val="0"/>
          <w:color w:val="auto"/>
          <w:szCs w:val="44"/>
          <w:highlight w:val="none"/>
        </w:rPr>
        <w:t>第二章  竞选人须知</w:t>
      </w:r>
      <w:r>
        <w:rPr>
          <w:color w:val="auto"/>
          <w:highlight w:val="none"/>
        </w:rPr>
        <w:tab/>
      </w:r>
      <w:r>
        <w:rPr>
          <w:color w:val="auto"/>
          <w:highlight w:val="none"/>
        </w:rPr>
        <w:t>9</w:t>
      </w:r>
    </w:p>
    <w:p w14:paraId="5FCBEEF5">
      <w:pPr>
        <w:pStyle w:val="10"/>
        <w:tabs>
          <w:tab w:val="right" w:leader="dot" w:pos="9416"/>
        </w:tabs>
        <w:snapToGrid w:val="0"/>
        <w:rPr>
          <w:color w:val="auto"/>
          <w:highlight w:val="none"/>
        </w:rPr>
      </w:pPr>
      <w:r>
        <w:rPr>
          <w:rFonts w:ascii="黑体" w:eastAsia="黑体"/>
          <w:bCs w:val="0"/>
          <w:color w:val="auto"/>
          <w:szCs w:val="44"/>
          <w:highlight w:val="none"/>
        </w:rPr>
        <w:t>第三章 评选办法（经评审的最低投标价法）</w:t>
      </w:r>
      <w:r>
        <w:rPr>
          <w:color w:val="auto"/>
          <w:highlight w:val="none"/>
        </w:rPr>
        <w:tab/>
      </w:r>
      <w:r>
        <w:rPr>
          <w:color w:val="auto"/>
          <w:highlight w:val="none"/>
        </w:rPr>
        <w:t>24</w:t>
      </w:r>
    </w:p>
    <w:p w14:paraId="156964F5">
      <w:pPr>
        <w:pStyle w:val="10"/>
        <w:tabs>
          <w:tab w:val="right" w:leader="dot" w:pos="9416"/>
        </w:tabs>
        <w:snapToGrid w:val="0"/>
        <w:rPr>
          <w:rFonts w:ascii="Times New Roman" w:hAnsi="Times New Roman"/>
          <w:b w:val="0"/>
          <w:caps w:val="0"/>
          <w:smallCaps w:val="0"/>
          <w:color w:val="auto"/>
          <w:sz w:val="24"/>
          <w:highlight w:val="none"/>
        </w:rPr>
      </w:pPr>
      <w:r>
        <w:rPr>
          <w:rFonts w:ascii="黑体" w:eastAsia="黑体"/>
          <w:bCs w:val="0"/>
          <w:color w:val="auto"/>
          <w:szCs w:val="44"/>
          <w:highlight w:val="none"/>
        </w:rPr>
        <w:t>第四章 合同条款及格式</w:t>
      </w:r>
      <w:r>
        <w:rPr>
          <w:color w:val="auto"/>
          <w:highlight w:val="none"/>
        </w:rPr>
        <w:tab/>
      </w:r>
      <w:r>
        <w:rPr>
          <w:color w:val="auto"/>
          <w:highlight w:val="none"/>
        </w:rPr>
        <w:t>28</w:t>
      </w:r>
    </w:p>
    <w:p w14:paraId="332903B1">
      <w:pPr>
        <w:pStyle w:val="10"/>
        <w:tabs>
          <w:tab w:val="right" w:leader="dot" w:pos="9416"/>
        </w:tabs>
        <w:snapToGrid w:val="0"/>
        <w:rPr>
          <w:color w:val="auto"/>
          <w:highlight w:val="none"/>
        </w:rPr>
      </w:pPr>
      <w:r>
        <w:rPr>
          <w:rFonts w:ascii="黑体" w:eastAsia="黑体"/>
          <w:bCs w:val="0"/>
          <w:color w:val="auto"/>
          <w:szCs w:val="44"/>
          <w:highlight w:val="none"/>
        </w:rPr>
        <w:t>第五章  技术标准和要求</w:t>
      </w:r>
      <w:r>
        <w:rPr>
          <w:color w:val="auto"/>
          <w:highlight w:val="none"/>
        </w:rPr>
        <w:tab/>
      </w:r>
      <w:r>
        <w:rPr>
          <w:color w:val="auto"/>
          <w:highlight w:val="none"/>
        </w:rPr>
        <w:t>47</w:t>
      </w:r>
    </w:p>
    <w:p w14:paraId="67E28D28">
      <w:pPr>
        <w:pStyle w:val="10"/>
        <w:tabs>
          <w:tab w:val="right" w:leader="dot" w:pos="9416"/>
        </w:tabs>
        <w:snapToGrid w:val="0"/>
        <w:rPr>
          <w:color w:val="auto"/>
          <w:highlight w:val="none"/>
        </w:rPr>
      </w:pPr>
      <w:r>
        <w:rPr>
          <w:rFonts w:ascii="黑体" w:eastAsia="黑体"/>
          <w:bCs w:val="0"/>
          <w:color w:val="auto"/>
          <w:szCs w:val="44"/>
          <w:highlight w:val="none"/>
        </w:rPr>
        <w:t>第六章 竞选文件格式</w:t>
      </w:r>
      <w:r>
        <w:rPr>
          <w:color w:val="auto"/>
          <w:highlight w:val="none"/>
        </w:rPr>
        <w:tab/>
      </w:r>
      <w:r>
        <w:rPr>
          <w:color w:val="auto"/>
          <w:highlight w:val="none"/>
        </w:rPr>
        <w:t>48</w:t>
      </w:r>
    </w:p>
    <w:p w14:paraId="2E0D4AC9">
      <w:pPr>
        <w:snapToGrid w:val="0"/>
        <w:rPr>
          <w:rFonts w:cs="Times New Roman"/>
          <w:b/>
          <w:bCs/>
          <w:color w:val="auto"/>
          <w:highlight w:val="none"/>
          <w:lang w:val="zh-CN"/>
        </w:rPr>
      </w:pPr>
    </w:p>
    <w:p w14:paraId="58397DE7">
      <w:pPr>
        <w:snapToGrid w:val="0"/>
        <w:spacing w:line="240" w:lineRule="exact"/>
        <w:rPr>
          <w:rFonts w:ascii="宋体"/>
          <w:b/>
          <w:color w:val="auto"/>
          <w:sz w:val="44"/>
          <w:szCs w:val="44"/>
          <w:highlight w:val="none"/>
        </w:rPr>
      </w:pPr>
      <w:r>
        <w:rPr>
          <w:rFonts w:ascii="宋体"/>
          <w:b/>
          <w:color w:val="auto"/>
          <w:sz w:val="44"/>
          <w:szCs w:val="44"/>
          <w:highlight w:val="none"/>
        </w:rPr>
        <w:br w:type="page"/>
      </w:r>
    </w:p>
    <w:p w14:paraId="742D136C">
      <w:pPr>
        <w:pStyle w:val="11"/>
        <w:snapToGrid w:val="0"/>
        <w:spacing w:line="460" w:lineRule="exact"/>
        <w:jc w:val="center"/>
        <w:rPr>
          <w:rFonts w:ascii="黑体" w:eastAsia="黑体"/>
          <w:bCs w:val="0"/>
          <w:color w:val="auto"/>
          <w:kern w:val="2"/>
          <w:highlight w:val="none"/>
        </w:rPr>
      </w:pPr>
      <w:r>
        <w:rPr>
          <w:rFonts w:ascii="黑体" w:eastAsia="黑体"/>
          <w:bCs w:val="0"/>
          <w:color w:val="auto"/>
          <w:kern w:val="2"/>
          <w:highlight w:val="none"/>
        </w:rPr>
        <w:t>第一章 竞争性比选公告</w:t>
      </w:r>
    </w:p>
    <w:p w14:paraId="12600600">
      <w:pPr>
        <w:snapToGrid w:val="0"/>
        <w:spacing w:line="360" w:lineRule="auto"/>
        <w:jc w:val="center"/>
        <w:rPr>
          <w:rFonts w:hint="eastAsia" w:ascii="宋体" w:eastAsia="宋体" w:cs="Times New Roman"/>
          <w:bCs/>
          <w:color w:val="auto"/>
          <w:sz w:val="48"/>
          <w:szCs w:val="48"/>
          <w:highlight w:val="none"/>
          <w:lang w:eastAsia="zh-CN"/>
        </w:rPr>
      </w:pPr>
      <w:r>
        <w:rPr>
          <w:rFonts w:ascii="宋体" w:cs="Arial"/>
          <w:b/>
          <w:bCs w:val="0"/>
          <w:color w:val="auto"/>
          <w:sz w:val="28"/>
          <w:szCs w:val="28"/>
          <w:highlight w:val="none"/>
          <w:lang w:val="en-US" w:eastAsia="zh-CN"/>
        </w:rPr>
        <w:t>西永综保区进口整车展示及存储中心及周边配套工程—广达生活区A线道路东延段工程</w:t>
      </w:r>
      <w:r>
        <w:rPr>
          <w:rFonts w:ascii="宋体" w:cs="Arial"/>
          <w:b/>
          <w:bCs w:val="0"/>
          <w:color w:val="auto"/>
          <w:sz w:val="28"/>
          <w:szCs w:val="28"/>
          <w:highlight w:val="none"/>
        </w:rPr>
        <w:t>第三方</w:t>
      </w:r>
      <w:r>
        <w:rPr>
          <w:rFonts w:ascii="宋体" w:cs="Arial"/>
          <w:b/>
          <w:bCs w:val="0"/>
          <w:color w:val="auto"/>
          <w:sz w:val="28"/>
          <w:szCs w:val="28"/>
          <w:highlight w:val="none"/>
          <w:lang w:val="en-US" w:eastAsia="zh-CN"/>
        </w:rPr>
        <w:t>涉轨</w:t>
      </w:r>
      <w:r>
        <w:rPr>
          <w:rFonts w:ascii="宋体" w:cs="Arial"/>
          <w:b/>
          <w:bCs w:val="0"/>
          <w:color w:val="auto"/>
          <w:sz w:val="28"/>
          <w:szCs w:val="28"/>
          <w:highlight w:val="none"/>
        </w:rPr>
        <w:t>监测</w:t>
      </w:r>
    </w:p>
    <w:p w14:paraId="5523201E">
      <w:pPr>
        <w:snapToGrid w:val="0"/>
        <w:spacing w:line="600" w:lineRule="exact"/>
        <w:jc w:val="center"/>
        <w:rPr>
          <w:rFonts w:ascii="宋体"/>
          <w:b/>
          <w:color w:val="auto"/>
          <w:sz w:val="28"/>
          <w:szCs w:val="28"/>
          <w:highlight w:val="none"/>
        </w:rPr>
      </w:pPr>
      <w:r>
        <w:rPr>
          <w:rFonts w:ascii="宋体"/>
          <w:b/>
          <w:color w:val="auto"/>
          <w:sz w:val="28"/>
          <w:szCs w:val="28"/>
          <w:highlight w:val="none"/>
        </w:rPr>
        <w:t>比选公告</w:t>
      </w:r>
    </w:p>
    <w:p w14:paraId="4310B05E">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1、比选条件</w:t>
      </w:r>
    </w:p>
    <w:p w14:paraId="02B8AAD9">
      <w:pPr>
        <w:snapToGrid w:val="0"/>
        <w:spacing w:line="360" w:lineRule="auto"/>
        <w:ind w:firstLine="440" w:firstLineChars="200"/>
        <w:jc w:val="left"/>
        <w:rPr>
          <w:rFonts w:ascii="宋体"/>
          <w:color w:val="auto"/>
          <w:sz w:val="22"/>
          <w:szCs w:val="22"/>
          <w:highlight w:val="none"/>
        </w:rPr>
      </w:pPr>
      <w:r>
        <w:rPr>
          <w:rFonts w:ascii="宋体"/>
          <w:color w:val="auto"/>
          <w:sz w:val="22"/>
          <w:szCs w:val="22"/>
          <w:highlight w:val="none"/>
        </w:rPr>
        <w:t>本比选项目为</w:t>
      </w:r>
      <w:r>
        <w:rPr>
          <w:rFonts w:hint="eastAsia" w:ascii="宋体" w:cs="Arial"/>
          <w:bCs w:val="0"/>
          <w:color w:val="auto"/>
          <w:sz w:val="22"/>
          <w:szCs w:val="22"/>
          <w:highlight w:val="none"/>
          <w:u w:val="single"/>
          <w:lang w:val="en-US" w:eastAsia="zh-CN"/>
        </w:rPr>
        <w:t>西永综保区进口整车展示及存储中心及周边配套工程—广达生活区A线道路东延段工程</w:t>
      </w:r>
      <w:r>
        <w:rPr>
          <w:rFonts w:hint="eastAsia" w:ascii="宋体" w:cs="Arial"/>
          <w:bCs w:val="0"/>
          <w:color w:val="auto"/>
          <w:sz w:val="22"/>
          <w:szCs w:val="22"/>
          <w:highlight w:val="none"/>
          <w:u w:val="single"/>
        </w:rPr>
        <w:t>第三方</w:t>
      </w:r>
      <w:r>
        <w:rPr>
          <w:rFonts w:hint="eastAsia" w:ascii="宋体" w:cs="Arial"/>
          <w:bCs w:val="0"/>
          <w:color w:val="auto"/>
          <w:sz w:val="22"/>
          <w:szCs w:val="22"/>
          <w:highlight w:val="none"/>
          <w:u w:val="single"/>
          <w:lang w:val="en-US" w:eastAsia="zh-CN"/>
        </w:rPr>
        <w:t>涉轨</w:t>
      </w:r>
      <w:r>
        <w:rPr>
          <w:rFonts w:hint="eastAsia" w:ascii="宋体" w:cs="Arial"/>
          <w:bCs w:val="0"/>
          <w:color w:val="auto"/>
          <w:sz w:val="22"/>
          <w:szCs w:val="22"/>
          <w:highlight w:val="none"/>
          <w:u w:val="single"/>
        </w:rPr>
        <w:t>监测</w:t>
      </w:r>
      <w:r>
        <w:rPr>
          <w:rFonts w:hint="eastAsia" w:ascii="宋体"/>
          <w:color w:val="auto"/>
          <w:sz w:val="22"/>
          <w:szCs w:val="22"/>
          <w:highlight w:val="none"/>
          <w:lang w:eastAsia="zh-CN"/>
        </w:rPr>
        <w:t>项目</w:t>
      </w:r>
      <w:r>
        <w:rPr>
          <w:rFonts w:ascii="宋体"/>
          <w:color w:val="auto"/>
          <w:sz w:val="22"/>
          <w:szCs w:val="22"/>
          <w:highlight w:val="none"/>
        </w:rPr>
        <w:t>，项目业主为</w:t>
      </w:r>
      <w:r>
        <w:rPr>
          <w:rFonts w:hint="eastAsia" w:ascii="宋体" w:eastAsia="宋体" w:cs="Arial"/>
          <w:color w:val="auto"/>
          <w:kern w:val="0"/>
          <w:sz w:val="22"/>
          <w:szCs w:val="22"/>
          <w:highlight w:val="none"/>
          <w:u w:val="single" w:color="000000"/>
          <w:lang w:val="en-US" w:eastAsia="zh-CN"/>
        </w:rPr>
        <w:t>重庆西永微电子产业园区开发有限公司</w:t>
      </w:r>
      <w:r>
        <w:rPr>
          <w:rFonts w:ascii="宋体"/>
          <w:color w:val="auto"/>
          <w:sz w:val="22"/>
          <w:szCs w:val="22"/>
          <w:highlight w:val="none"/>
        </w:rPr>
        <w:t>,资金来自</w:t>
      </w:r>
      <w:r>
        <w:rPr>
          <w:rFonts w:hint="eastAsia" w:ascii="宋体"/>
          <w:color w:val="auto"/>
          <w:sz w:val="22"/>
          <w:szCs w:val="22"/>
          <w:highlight w:val="none"/>
          <w:u w:val="single" w:color="000000"/>
          <w:lang w:val="en-US" w:eastAsia="zh-CN"/>
        </w:rPr>
        <w:t>企业</w:t>
      </w:r>
      <w:r>
        <w:rPr>
          <w:rFonts w:ascii="宋体"/>
          <w:color w:val="auto"/>
          <w:sz w:val="22"/>
          <w:szCs w:val="22"/>
          <w:highlight w:val="none"/>
          <w:u w:val="single" w:color="000000"/>
        </w:rPr>
        <w:t>自筹</w:t>
      </w:r>
      <w:r>
        <w:rPr>
          <w:rFonts w:ascii="宋体"/>
          <w:color w:val="auto"/>
          <w:sz w:val="22"/>
          <w:szCs w:val="22"/>
          <w:highlight w:val="none"/>
        </w:rPr>
        <w:t>。比选人为</w:t>
      </w:r>
      <w:r>
        <w:rPr>
          <w:rFonts w:ascii="宋体"/>
          <w:color w:val="auto"/>
          <w:sz w:val="22"/>
          <w:szCs w:val="22"/>
          <w:highlight w:val="none"/>
          <w:u w:val="single" w:color="000000"/>
        </w:rPr>
        <w:t>重庆科学城城市建设集团有限公司</w:t>
      </w:r>
      <w:r>
        <w:rPr>
          <w:rFonts w:ascii="宋体"/>
          <w:color w:val="auto"/>
          <w:sz w:val="22"/>
          <w:szCs w:val="22"/>
          <w:highlight w:val="none"/>
        </w:rPr>
        <w:t>，该项目现已具备比选条件，现特邀请有兴趣的潜在竞选人参与竞选。</w:t>
      </w:r>
    </w:p>
    <w:p w14:paraId="4B65C2A8">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2、项目概况与比选范围</w:t>
      </w:r>
    </w:p>
    <w:p w14:paraId="32AF436E">
      <w:pPr>
        <w:snapToGrid/>
        <w:spacing w:line="240" w:lineRule="auto"/>
        <w:ind w:firstLine="440" w:firstLineChars="200"/>
        <w:rPr>
          <w:rFonts w:ascii="宋体"/>
          <w:color w:val="auto"/>
          <w:sz w:val="22"/>
          <w:szCs w:val="22"/>
          <w:highlight w:val="none"/>
        </w:rPr>
      </w:pPr>
      <w:r>
        <w:rPr>
          <w:rFonts w:ascii="宋体"/>
          <w:color w:val="auto"/>
          <w:sz w:val="22"/>
          <w:szCs w:val="22"/>
          <w:highlight w:val="none"/>
        </w:rPr>
        <w:t>2.1工程地址：</w:t>
      </w:r>
      <w:r>
        <w:rPr>
          <w:rFonts w:ascii="宋体" w:eastAsia="宋体" w:cs="Arial"/>
          <w:color w:val="auto"/>
          <w:kern w:val="0"/>
          <w:sz w:val="22"/>
          <w:szCs w:val="22"/>
          <w:highlight w:val="none"/>
          <w:lang w:val="en-US" w:eastAsia="zh-CN"/>
        </w:rPr>
        <w:t>高新区曾家镇，西接广达生活区一期 A 线道路，东向止于寨山坪山脚。</w:t>
      </w:r>
    </w:p>
    <w:p w14:paraId="4B18343B">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2.2建设规模及内容：</w:t>
      </w:r>
      <w:r>
        <w:rPr>
          <w:rFonts w:hint="eastAsia" w:ascii="宋体" w:eastAsia="宋体" w:cs="Arial"/>
          <w:color w:val="auto"/>
          <w:kern w:val="0"/>
          <w:sz w:val="22"/>
          <w:szCs w:val="22"/>
          <w:highlight w:val="none"/>
          <w:lang w:val="en-US" w:eastAsia="zh-CN"/>
        </w:rPr>
        <w:t>西永综合保税区进口整车展示存储中心及周边配套工程-广达生活区 A 线道路东延段工程全长约 840 米，道路等级为城市主干道，双向六车道，标准路幅宽度为 38m。包括但不限于海绵城市、沿线包含一条全长约 1.66km 的电力隧道、岩土工程、交通工程、照明工程、景观工程等。</w:t>
      </w:r>
      <w:r>
        <w:rPr>
          <w:rFonts w:hint="eastAsia" w:ascii="宋体"/>
          <w:color w:val="auto"/>
          <w:sz w:val="22"/>
          <w:szCs w:val="22"/>
          <w:highlight w:val="none"/>
          <w:lang w:val="en-US" w:eastAsia="zh-CN"/>
        </w:rPr>
        <w:t>根据重庆市城乡建设委员会《重庆市轨道交通控制保护区管理办法》(渝建发〔2018〕295号)</w:t>
      </w:r>
      <w:r>
        <w:rPr>
          <w:rFonts w:ascii="宋体"/>
          <w:color w:val="auto"/>
          <w:sz w:val="22"/>
          <w:szCs w:val="22"/>
          <w:highlight w:val="none"/>
          <w:lang w:val="en-US" w:eastAsia="zh-CN"/>
        </w:rPr>
        <w:t>等</w:t>
      </w:r>
      <w:r>
        <w:rPr>
          <w:rFonts w:hint="eastAsia" w:ascii="宋体"/>
          <w:color w:val="auto"/>
          <w:sz w:val="22"/>
          <w:szCs w:val="22"/>
          <w:highlight w:val="none"/>
          <w:lang w:val="en-US" w:eastAsia="zh-CN"/>
        </w:rPr>
        <w:t>规定：在轨道控制保护区范围内的建设项目，项目建设单位应在项目开工前会同轨道交通建设或运营单位制定对轨道交通设施的安全保护方案，并按规定委托具有相应资质的第三方监测机构就项目建设对轨道交通设施影响编制第三方监测方案。</w:t>
      </w:r>
      <w:r>
        <w:rPr>
          <w:rFonts w:ascii="宋体"/>
          <w:color w:val="auto"/>
          <w:sz w:val="22"/>
          <w:szCs w:val="22"/>
          <w:highlight w:val="none"/>
        </w:rPr>
        <w:t xml:space="preserve">     </w:t>
      </w:r>
    </w:p>
    <w:p w14:paraId="15554D46">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2.3比选范围：</w:t>
      </w:r>
      <w:r>
        <w:rPr>
          <w:rFonts w:hint="eastAsia" w:ascii="宋体"/>
          <w:color w:val="auto"/>
          <w:sz w:val="22"/>
          <w:szCs w:val="22"/>
          <w:highlight w:val="none"/>
        </w:rPr>
        <w:t>完成本项目建设范围内的</w:t>
      </w:r>
      <w:r>
        <w:rPr>
          <w:rFonts w:ascii="宋体"/>
          <w:color w:val="auto"/>
          <w:sz w:val="22"/>
          <w:szCs w:val="22"/>
          <w:highlight w:val="none"/>
        </w:rPr>
        <w:t>涉轨</w:t>
      </w:r>
      <w:r>
        <w:rPr>
          <w:rFonts w:hint="eastAsia" w:ascii="宋体"/>
          <w:color w:val="auto"/>
          <w:sz w:val="22"/>
          <w:szCs w:val="22"/>
          <w:highlight w:val="none"/>
        </w:rPr>
        <w:t>监测服务工作</w:t>
      </w:r>
      <w:r>
        <w:rPr>
          <w:rFonts w:ascii="宋体"/>
          <w:color w:val="auto"/>
          <w:sz w:val="21"/>
          <w:szCs w:val="21"/>
          <w:highlight w:val="none"/>
        </w:rPr>
        <w:t>，</w:t>
      </w:r>
      <w:r>
        <w:rPr>
          <w:rFonts w:ascii="宋体"/>
          <w:color w:val="auto"/>
          <w:sz w:val="22"/>
          <w:szCs w:val="22"/>
          <w:highlight w:val="none"/>
        </w:rPr>
        <w:t>对</w:t>
      </w:r>
      <w:r>
        <w:rPr>
          <w:rFonts w:hint="eastAsia" w:ascii="宋体"/>
          <w:bCs/>
          <w:color w:val="auto"/>
          <w:sz w:val="22"/>
          <w:szCs w:val="22"/>
          <w:highlight w:val="none"/>
        </w:rPr>
        <w:t>轨道交通结构设施、围（支）护结构体系、地下水、周边环境及岩土体等的变化情况按一定的周期进行量测、巡查、分析和反馈监测成果</w:t>
      </w:r>
      <w:r>
        <w:rPr>
          <w:rFonts w:ascii="宋体"/>
          <w:bCs/>
          <w:color w:val="auto"/>
          <w:sz w:val="22"/>
          <w:szCs w:val="22"/>
          <w:highlight w:val="none"/>
        </w:rPr>
        <w:t>，</w:t>
      </w:r>
      <w:r>
        <w:rPr>
          <w:rFonts w:ascii="宋体"/>
          <w:color w:val="auto"/>
          <w:sz w:val="21"/>
          <w:szCs w:val="21"/>
          <w:highlight w:val="none"/>
        </w:rPr>
        <w:t>以</w:t>
      </w:r>
      <w:r>
        <w:rPr>
          <w:rFonts w:ascii="宋体"/>
          <w:color w:val="auto"/>
          <w:sz w:val="22"/>
          <w:szCs w:val="22"/>
          <w:highlight w:val="none"/>
        </w:rPr>
        <w:t>及国家标准和地方规范要求必须监测的内容，包含但不限于现状摸排、基准网建立及观测、</w:t>
      </w:r>
      <w:r>
        <w:rPr>
          <w:rFonts w:ascii="宋体"/>
          <w:color w:val="auto"/>
          <w:sz w:val="22"/>
          <w:szCs w:val="22"/>
          <w:highlight w:val="none"/>
        </w:rPr>
        <w:t>水平及竖向位移、</w:t>
      </w:r>
      <w:r>
        <w:rPr>
          <w:rFonts w:ascii="宋体"/>
          <w:color w:val="auto"/>
          <w:sz w:val="22"/>
          <w:szCs w:val="22"/>
          <w:highlight w:val="none"/>
        </w:rPr>
        <w:t>结构监测、</w:t>
      </w:r>
      <w:r>
        <w:rPr>
          <w:rFonts w:ascii="宋体"/>
          <w:color w:val="auto"/>
          <w:sz w:val="22"/>
          <w:szCs w:val="22"/>
          <w:highlight w:val="none"/>
        </w:rPr>
        <w:t>净空收敛、倾斜、裂缝测量、宏观巡查、仪器设备安设、</w:t>
      </w:r>
      <w:r>
        <w:rPr>
          <w:rFonts w:ascii="宋体"/>
          <w:color w:val="auto"/>
          <w:sz w:val="22"/>
          <w:szCs w:val="22"/>
          <w:highlight w:val="none"/>
        </w:rPr>
        <w:t>方案编制及审查</w:t>
      </w:r>
      <w:r>
        <w:rPr>
          <w:rFonts w:ascii="宋体"/>
          <w:color w:val="auto"/>
          <w:sz w:val="22"/>
          <w:szCs w:val="22"/>
          <w:highlight w:val="none"/>
        </w:rPr>
        <w:t>、其他技术工作</w:t>
      </w:r>
      <w:r>
        <w:rPr>
          <w:rFonts w:ascii="宋体"/>
          <w:color w:val="auto"/>
          <w:sz w:val="22"/>
          <w:szCs w:val="22"/>
          <w:highlight w:val="none"/>
        </w:rPr>
        <w:t>等</w:t>
      </w:r>
      <w:r>
        <w:rPr>
          <w:rFonts w:ascii="宋体"/>
          <w:color w:val="auto"/>
          <w:sz w:val="22"/>
          <w:szCs w:val="22"/>
          <w:highlight w:val="none"/>
        </w:rPr>
        <w:t>以及其他全部相关工作</w:t>
      </w:r>
      <w:r>
        <w:rPr>
          <w:rFonts w:ascii="宋体"/>
          <w:color w:val="auto"/>
          <w:sz w:val="22"/>
          <w:szCs w:val="22"/>
          <w:highlight w:val="none"/>
        </w:rPr>
        <w:t>，前述监测内容并非完全列举，具体监测范围及要求应符合强制性质量标准，符合国家、重庆市相关法律法规、技术标准、规范、规程以及设计要求，并达到验收合格标准。 竞选人应当根据施工图及工程施工现场需要编制监测方案，合理布置监测点位、监测内容及监测频率等。（注：竞选人以实现监测效果，确保工程施工安全为目的，根据相关文件要求自行编制监测方案，实施、完善监测点设置，合理调整监测频率和监测期数，满足相关规范要求，并按实结算）。具体包含按国家相关规范及设计要求完成施工图范围内的所有内容、比选文件、比选文件补遗、答疑、澄清中补充的全部工程内容及其它保证施工顺利进行的各种协调工作等。</w:t>
      </w:r>
    </w:p>
    <w:p w14:paraId="2419896E">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2.4服务期：</w:t>
      </w:r>
      <w:r>
        <w:rPr>
          <w:rFonts w:hint="eastAsia" w:ascii="宋体"/>
          <w:color w:val="auto"/>
          <w:sz w:val="22"/>
          <w:szCs w:val="22"/>
          <w:highlight w:val="none"/>
        </w:rPr>
        <w:t>完成项目施工阶段、竣完工验收阶段</w:t>
      </w:r>
      <w:r>
        <w:rPr>
          <w:rFonts w:ascii="宋体"/>
          <w:color w:val="auto"/>
          <w:sz w:val="22"/>
          <w:szCs w:val="22"/>
          <w:highlight w:val="none"/>
        </w:rPr>
        <w:t>、</w:t>
      </w:r>
      <w:r>
        <w:rPr>
          <w:rFonts w:hint="eastAsia" w:ascii="宋体"/>
          <w:color w:val="auto"/>
          <w:sz w:val="22"/>
          <w:szCs w:val="22"/>
          <w:highlight w:val="none"/>
        </w:rPr>
        <w:t>缺陷责任期</w:t>
      </w:r>
      <w:r>
        <w:rPr>
          <w:rFonts w:ascii="宋体"/>
          <w:color w:val="auto"/>
          <w:sz w:val="22"/>
          <w:szCs w:val="22"/>
          <w:highlight w:val="none"/>
        </w:rPr>
        <w:t>以及轨道运营期限1年内</w:t>
      </w:r>
      <w:r>
        <w:rPr>
          <w:rFonts w:hint="eastAsia" w:ascii="宋体"/>
          <w:color w:val="auto"/>
          <w:sz w:val="22"/>
          <w:szCs w:val="22"/>
          <w:highlight w:val="none"/>
        </w:rPr>
        <w:t>应进行</w:t>
      </w:r>
      <w:r>
        <w:rPr>
          <w:rFonts w:ascii="宋体"/>
          <w:color w:val="auto"/>
          <w:sz w:val="22"/>
          <w:szCs w:val="22"/>
          <w:highlight w:val="none"/>
        </w:rPr>
        <w:t>涉轨</w:t>
      </w:r>
      <w:r>
        <w:rPr>
          <w:rFonts w:hint="eastAsia" w:ascii="宋体"/>
          <w:color w:val="auto"/>
          <w:sz w:val="22"/>
          <w:szCs w:val="22"/>
          <w:highlight w:val="none"/>
        </w:rPr>
        <w:t>监测的全部服务。其中，施工工期暂定</w:t>
      </w:r>
      <w:r>
        <w:rPr>
          <w:rFonts w:ascii="宋体"/>
          <w:color w:val="auto"/>
          <w:sz w:val="22"/>
          <w:szCs w:val="22"/>
          <w:highlight w:val="none"/>
          <w:lang w:val="en-US" w:eastAsia="zh-CN"/>
        </w:rPr>
        <w:t>540</w:t>
      </w:r>
      <w:r>
        <w:rPr>
          <w:rFonts w:hint="eastAsia" w:ascii="宋体"/>
          <w:color w:val="auto"/>
          <w:sz w:val="22"/>
          <w:szCs w:val="22"/>
          <w:highlight w:val="none"/>
        </w:rPr>
        <w:t>日历天（具体以施工项目实际开工，竣工验收之日为准，监测服务期以实际工期为准），缺陷责任期24个月</w:t>
      </w:r>
      <w:r>
        <w:rPr>
          <w:rFonts w:ascii="宋体"/>
          <w:color w:val="auto"/>
          <w:sz w:val="22"/>
          <w:szCs w:val="22"/>
          <w:highlight w:val="none"/>
        </w:rPr>
        <w:t>，轨道运营期限1年（以轨道实际开始运营起始时间为准计算1年）。</w:t>
      </w:r>
      <w:r>
        <w:rPr>
          <w:rFonts w:hint="eastAsia" w:ascii="宋体"/>
          <w:color w:val="auto"/>
          <w:sz w:val="22"/>
          <w:szCs w:val="22"/>
          <w:highlight w:val="none"/>
        </w:rPr>
        <w:t>具体监测开始时间以委托方通知为准，承担方未经委托方允许擅自开工监测的，委托方不予认可。</w:t>
      </w:r>
      <w:r>
        <w:rPr>
          <w:rFonts w:hint="eastAsia" w:ascii="宋体"/>
          <w:color w:val="auto"/>
          <w:sz w:val="22"/>
          <w:szCs w:val="22"/>
          <w:highlight w:val="none"/>
        </w:rPr>
        <w:t>承担方应在监测工期内向委托方提交</w:t>
      </w:r>
      <w:r>
        <w:rPr>
          <w:rFonts w:ascii="宋体"/>
          <w:color w:val="auto"/>
          <w:sz w:val="22"/>
          <w:szCs w:val="22"/>
          <w:highlight w:val="none"/>
        </w:rPr>
        <w:t>经轨道产权单位及相关主管部门（如有）审批通过的</w:t>
      </w:r>
      <w:r>
        <w:rPr>
          <w:rFonts w:hint="eastAsia" w:ascii="宋体"/>
          <w:color w:val="auto"/>
          <w:sz w:val="22"/>
          <w:szCs w:val="22"/>
          <w:highlight w:val="none"/>
        </w:rPr>
        <w:t>监测</w:t>
      </w:r>
      <w:r>
        <w:rPr>
          <w:rFonts w:ascii="宋体"/>
          <w:color w:val="auto"/>
          <w:sz w:val="22"/>
          <w:szCs w:val="22"/>
          <w:highlight w:val="none"/>
        </w:rPr>
        <w:t>方案，</w:t>
      </w:r>
      <w:r>
        <w:rPr>
          <w:rFonts w:hint="eastAsia" w:ascii="宋体"/>
          <w:color w:val="auto"/>
          <w:sz w:val="22"/>
          <w:szCs w:val="22"/>
          <w:highlight w:val="none"/>
        </w:rPr>
        <w:t>监测频率按有关规定执行</w:t>
      </w:r>
      <w:r>
        <w:rPr>
          <w:rFonts w:ascii="宋体"/>
          <w:color w:val="auto"/>
          <w:sz w:val="22"/>
          <w:szCs w:val="22"/>
          <w:highlight w:val="none"/>
        </w:rPr>
        <w:t>及</w:t>
      </w:r>
      <w:r>
        <w:rPr>
          <w:rFonts w:hint="eastAsia" w:ascii="宋体"/>
          <w:color w:val="auto"/>
          <w:sz w:val="22"/>
          <w:szCs w:val="22"/>
          <w:highlight w:val="none"/>
        </w:rPr>
        <w:t>批准的监测方案执行</w:t>
      </w:r>
      <w:r>
        <w:rPr>
          <w:rFonts w:ascii="宋体"/>
          <w:color w:val="auto"/>
          <w:sz w:val="22"/>
          <w:szCs w:val="22"/>
          <w:highlight w:val="none"/>
        </w:rPr>
        <w:t>，并向委托方提供满足规范要求的监测报告</w:t>
      </w:r>
      <w:r>
        <w:rPr>
          <w:rFonts w:hint="eastAsia" w:ascii="宋体"/>
          <w:color w:val="auto"/>
          <w:sz w:val="22"/>
          <w:szCs w:val="22"/>
          <w:highlight w:val="none"/>
        </w:rPr>
        <w:t>。</w:t>
      </w:r>
    </w:p>
    <w:p w14:paraId="699E5D92">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2.5质量标准：达到国家和重庆市现行有关技术规范和质量标准要求，并达到合格标准。</w:t>
      </w:r>
    </w:p>
    <w:p w14:paraId="284D2203">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3、竞选人资格要求</w:t>
      </w:r>
    </w:p>
    <w:p w14:paraId="40A59DAE">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3.1本次比选实行资格后审，竞选人应满足下列资格条件：</w:t>
      </w:r>
    </w:p>
    <w:p w14:paraId="60656D63">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（1）具备有效的营业执照。</w:t>
      </w:r>
    </w:p>
    <w:p w14:paraId="49EFC530">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（2）竞选人须</w:t>
      </w:r>
      <w:r>
        <w:rPr>
          <w:rFonts w:hint="eastAsia" w:ascii="宋体"/>
          <w:color w:val="auto"/>
          <w:sz w:val="22"/>
          <w:szCs w:val="22"/>
          <w:highlight w:val="none"/>
          <w:lang w:val="en-US" w:eastAsia="zh-CN"/>
        </w:rPr>
        <w:t>同时具备</w:t>
      </w:r>
      <w:r>
        <w:rPr>
          <w:rFonts w:hint="eastAsia" w:ascii="宋体"/>
          <w:color w:val="auto"/>
          <w:sz w:val="22"/>
          <w:szCs w:val="22"/>
          <w:highlight w:val="none"/>
        </w:rPr>
        <w:t>建设行政主管部门颁发的工程勘察综合类甲级资质</w:t>
      </w:r>
      <w:r>
        <w:rPr>
          <w:rFonts w:hint="eastAsia" w:ascii="宋体"/>
          <w:color w:val="auto"/>
          <w:sz w:val="22"/>
          <w:szCs w:val="22"/>
          <w:highlight w:val="none"/>
          <w:lang w:eastAsia="zh-CN"/>
        </w:rPr>
        <w:t>和</w:t>
      </w:r>
      <w:r>
        <w:rPr>
          <w:rFonts w:hint="eastAsia" w:ascii="宋体"/>
          <w:color w:val="auto"/>
          <w:sz w:val="22"/>
          <w:szCs w:val="22"/>
          <w:highlight w:val="none"/>
        </w:rPr>
        <w:t>测绘主管部门颁发的测绘乙级及以上资质。</w:t>
      </w:r>
    </w:p>
    <w:p w14:paraId="6C0C05FA">
      <w:pPr>
        <w:snapToGrid w:val="0"/>
        <w:spacing w:line="500" w:lineRule="exact"/>
        <w:ind w:firstLine="440" w:firstLineChars="200"/>
        <w:rPr>
          <w:rFonts w:ascii="宋体"/>
          <w:color w:val="auto"/>
          <w:highlight w:val="none"/>
        </w:rPr>
      </w:pPr>
      <w:r>
        <w:rPr>
          <w:rFonts w:ascii="宋体"/>
          <w:color w:val="auto"/>
          <w:sz w:val="22"/>
          <w:szCs w:val="22"/>
          <w:highlight w:val="none"/>
        </w:rPr>
        <w:t>3.2本次比选</w:t>
      </w:r>
      <w:r>
        <w:rPr>
          <w:rFonts w:ascii="宋体"/>
          <w:color w:val="auto"/>
          <w:sz w:val="22"/>
          <w:szCs w:val="22"/>
          <w:highlight w:val="none"/>
          <w:u w:val="single" w:color="000000"/>
        </w:rPr>
        <w:t>不接受</w:t>
      </w:r>
      <w:r>
        <w:rPr>
          <w:rFonts w:ascii="宋体"/>
          <w:color w:val="auto"/>
          <w:sz w:val="22"/>
          <w:szCs w:val="22"/>
          <w:highlight w:val="none"/>
        </w:rPr>
        <w:t>联合体竞选。</w:t>
      </w:r>
    </w:p>
    <w:p w14:paraId="3E608145">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4、竞争性比选文件的获取</w:t>
      </w:r>
    </w:p>
    <w:p w14:paraId="5843A6AA">
      <w:pPr>
        <w:snapToGrid w:val="0"/>
        <w:spacing w:line="500" w:lineRule="exact"/>
        <w:ind w:firstLine="440" w:firstLineChars="200"/>
        <w:rPr>
          <w:rFonts w:ascii="宋体"/>
          <w:color w:val="auto"/>
          <w:sz w:val="22"/>
          <w:szCs w:val="22"/>
          <w:highlight w:val="none"/>
          <w:u w:val="single" w:color="000000"/>
        </w:rPr>
      </w:pPr>
      <w:r>
        <w:rPr>
          <w:rFonts w:ascii="宋体"/>
          <w:color w:val="auto"/>
          <w:sz w:val="22"/>
          <w:szCs w:val="22"/>
          <w:highlight w:val="none"/>
        </w:rPr>
        <w:t>4.1 竞争性比选文件获取时间：202</w:t>
      </w:r>
      <w:r>
        <w:rPr>
          <w:rFonts w:hint="eastAsia" w:ascii="宋体"/>
          <w:color w:val="auto"/>
          <w:sz w:val="22"/>
          <w:szCs w:val="22"/>
          <w:highlight w:val="none"/>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20</w:t>
      </w:r>
      <w:r>
        <w:rPr>
          <w:rFonts w:ascii="宋体"/>
          <w:color w:val="auto"/>
          <w:sz w:val="22"/>
          <w:szCs w:val="22"/>
          <w:highlight w:val="none"/>
          <w:u w:val="single" w:color="000000"/>
        </w:rPr>
        <w:t xml:space="preserve"> </w:t>
      </w:r>
      <w:r>
        <w:rPr>
          <w:rFonts w:ascii="宋体"/>
          <w:color w:val="auto"/>
          <w:sz w:val="22"/>
          <w:szCs w:val="22"/>
          <w:highlight w:val="none"/>
        </w:rPr>
        <w:t>日起至202</w:t>
      </w:r>
      <w:r>
        <w:rPr>
          <w:rFonts w:hint="eastAsia" w:ascii="宋体"/>
          <w:color w:val="auto"/>
          <w:sz w:val="22"/>
          <w:szCs w:val="22"/>
          <w:highlight w:val="none"/>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 xml:space="preserve"> </w:t>
      </w:r>
      <w:r>
        <w:rPr>
          <w:rFonts w:hint="eastAsia" w:ascii="宋体"/>
          <w:color w:val="auto"/>
          <w:sz w:val="22"/>
          <w:szCs w:val="22"/>
          <w:highlight w:val="none"/>
          <w:u w:val="single" w:color="000000"/>
          <w:lang w:val="en-US" w:eastAsia="zh-CN"/>
        </w:rPr>
        <w:t>26</w:t>
      </w:r>
      <w:r>
        <w:rPr>
          <w:rFonts w:ascii="宋体"/>
          <w:color w:val="auto"/>
          <w:sz w:val="22"/>
          <w:szCs w:val="22"/>
          <w:highlight w:val="none"/>
          <w:u w:val="single" w:color="000000"/>
        </w:rPr>
        <w:t xml:space="preserve"> </w:t>
      </w:r>
      <w:r>
        <w:rPr>
          <w:rFonts w:ascii="宋体"/>
          <w:color w:val="auto"/>
          <w:sz w:val="22"/>
          <w:szCs w:val="22"/>
          <w:highlight w:val="none"/>
        </w:rPr>
        <w:t>日 1</w:t>
      </w:r>
      <w:r>
        <w:rPr>
          <w:rFonts w:hint="eastAsia" w:ascii="宋体"/>
          <w:color w:val="auto"/>
          <w:sz w:val="22"/>
          <w:szCs w:val="22"/>
          <w:highlight w:val="none"/>
          <w:lang w:val="en-US" w:eastAsia="zh-CN"/>
        </w:rPr>
        <w:t>2</w:t>
      </w:r>
      <w:r>
        <w:rPr>
          <w:rFonts w:ascii="宋体"/>
          <w:color w:val="auto"/>
          <w:sz w:val="22"/>
          <w:szCs w:val="22"/>
          <w:highlight w:val="none"/>
        </w:rPr>
        <w:t xml:space="preserve"> 时 00 分（北京时间）止。</w:t>
      </w:r>
    </w:p>
    <w:p w14:paraId="5095089F">
      <w:pPr>
        <w:snapToGrid w:val="0"/>
        <w:spacing w:line="500" w:lineRule="exact"/>
        <w:ind w:firstLine="440" w:firstLineChars="200"/>
        <w:rPr>
          <w:rFonts w:hint="eastAsia" w:ascii="宋体"/>
          <w:color w:val="auto"/>
          <w:sz w:val="22"/>
          <w:szCs w:val="22"/>
          <w:highlight w:val="none"/>
          <w:lang w:val="en-US" w:eastAsia="zh-CN"/>
        </w:rPr>
      </w:pPr>
      <w:r>
        <w:rPr>
          <w:rFonts w:ascii="宋体"/>
          <w:color w:val="auto"/>
          <w:sz w:val="22"/>
          <w:szCs w:val="22"/>
          <w:highlight w:val="none"/>
        </w:rPr>
        <w:t>4.2竞争性比选文件获取方式：</w:t>
      </w:r>
      <w:r>
        <w:rPr>
          <w:rFonts w:hint="eastAsia" w:ascii="宋体"/>
          <w:color w:val="auto"/>
          <w:sz w:val="22"/>
          <w:szCs w:val="22"/>
          <w:highlight w:val="none"/>
          <w:lang w:val="en-US" w:eastAsia="zh-CN"/>
        </w:rPr>
        <w:t>本项目比选不需报名，开标时直接竞选。凡有意参加竞选者，请于</w:t>
      </w:r>
      <w:r>
        <w:rPr>
          <w:rFonts w:hint="eastAsia" w:ascii="宋体"/>
          <w:color w:val="auto"/>
          <w:sz w:val="22"/>
          <w:szCs w:val="22"/>
          <w:highlight w:val="none"/>
          <w:lang w:val="en-US" w:eastAsia="zh-CN"/>
        </w:rPr>
        <w:t>2025</w:t>
      </w:r>
      <w:r>
        <w:rPr>
          <w:rFonts w:hint="eastAsia" w:ascii="宋体"/>
          <w:color w:val="auto"/>
          <w:sz w:val="22"/>
          <w:szCs w:val="22"/>
          <w:highlight w:val="none"/>
          <w:lang w:val="en-US" w:eastAsia="zh-CN"/>
        </w:rPr>
        <w:t xml:space="preserve">年 </w:t>
      </w:r>
      <w:r>
        <w:rPr>
          <w:rFonts w:hint="eastAsia" w:ascii="宋体"/>
          <w:color w:val="auto"/>
          <w:sz w:val="22"/>
          <w:szCs w:val="22"/>
          <w:highlight w:val="none"/>
          <w:lang w:val="en-US" w:eastAsia="zh-CN"/>
        </w:rPr>
        <w:t>11</w:t>
      </w:r>
      <w:r>
        <w:rPr>
          <w:rFonts w:hint="eastAsia" w:ascii="宋体"/>
          <w:color w:val="auto"/>
          <w:sz w:val="22"/>
          <w:szCs w:val="22"/>
          <w:highlight w:val="none"/>
          <w:lang w:val="en-US" w:eastAsia="zh-CN"/>
        </w:rPr>
        <w:t xml:space="preserve">月 </w:t>
      </w:r>
      <w:r>
        <w:rPr>
          <w:rFonts w:hint="eastAsia" w:ascii="宋体"/>
          <w:color w:val="auto"/>
          <w:sz w:val="22"/>
          <w:szCs w:val="22"/>
          <w:highlight w:val="none"/>
          <w:lang w:val="en-US" w:eastAsia="zh-CN"/>
        </w:rPr>
        <w:t>20</w:t>
      </w:r>
      <w:r>
        <w:rPr>
          <w:rFonts w:hint="eastAsia" w:ascii="宋体"/>
          <w:color w:val="auto"/>
          <w:sz w:val="22"/>
          <w:szCs w:val="22"/>
          <w:highlight w:val="none"/>
          <w:lang w:val="en-US" w:eastAsia="zh-CN"/>
        </w:rPr>
        <w:t xml:space="preserve"> 日起，在</w:t>
      </w:r>
      <w:r>
        <w:rPr>
          <w:rFonts w:ascii="宋体"/>
          <w:color w:val="auto"/>
          <w:sz w:val="22"/>
          <w:szCs w:val="22"/>
          <w:highlight w:val="none"/>
        </w:rPr>
        <w:t>“重庆科学城城市建设集团有限公司官网http://www.cqgkt.com”</w:t>
      </w:r>
      <w:r>
        <w:rPr>
          <w:rFonts w:hint="eastAsia" w:ascii="宋体"/>
          <w:color w:val="auto"/>
          <w:sz w:val="22"/>
          <w:szCs w:val="22"/>
          <w:highlight w:val="none"/>
          <w:lang w:val="en-US" w:eastAsia="zh-CN"/>
        </w:rPr>
        <w:t>下载比选文件、答疑、补遗、比选控制价等开标前的有关资料，无论下载与否均视为竞选人全部知晓有关比选过程和事宜。自公告发出之日起，各竞选单位应随时关注比选文件及相关修改内容。</w:t>
      </w:r>
    </w:p>
    <w:p w14:paraId="60775F19">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4.3 竞选人在收到竞争性比选文件后，应检查竞争性比选文件的所有内容，如有残缺或文字表述不清，有可能出现歧义或理解上的偏差的内容等应在</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26</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17</w:t>
      </w:r>
      <w:r>
        <w:rPr>
          <w:rFonts w:ascii="宋体"/>
          <w:color w:val="auto"/>
          <w:sz w:val="22"/>
          <w:szCs w:val="22"/>
          <w:highlight w:val="none"/>
          <w:u w:val="single" w:color="000000"/>
        </w:rPr>
        <w:t xml:space="preserve"> </w:t>
      </w:r>
      <w:r>
        <w:rPr>
          <w:rFonts w:ascii="宋体"/>
          <w:color w:val="auto"/>
          <w:sz w:val="22"/>
          <w:szCs w:val="22"/>
          <w:highlight w:val="none"/>
        </w:rPr>
        <w:t>时</w:t>
      </w:r>
      <w:r>
        <w:rPr>
          <w:rFonts w:ascii="宋体"/>
          <w:color w:val="auto"/>
          <w:sz w:val="22"/>
          <w:szCs w:val="22"/>
          <w:highlight w:val="none"/>
          <w:u w:val="single" w:color="000000"/>
        </w:rPr>
        <w:t xml:space="preserve"> 00 </w:t>
      </w:r>
      <w:r>
        <w:rPr>
          <w:rFonts w:ascii="宋体"/>
          <w:color w:val="auto"/>
          <w:sz w:val="22"/>
          <w:szCs w:val="22"/>
          <w:highlight w:val="none"/>
        </w:rPr>
        <w:t>分（北京时间）前向比选人提出书面质疑，过期不再受理。</w:t>
      </w:r>
    </w:p>
    <w:p w14:paraId="756B3DAC">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4.4 比选人于</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27</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17</w:t>
      </w:r>
      <w:r>
        <w:rPr>
          <w:rFonts w:hint="eastAsia" w:ascii="宋体"/>
          <w:color w:val="auto"/>
          <w:sz w:val="22"/>
          <w:szCs w:val="22"/>
          <w:highlight w:val="none"/>
          <w:u w:val="single" w:color="000000"/>
          <w:lang w:val="en-US" w:eastAsia="zh-CN"/>
        </w:rPr>
        <w:t xml:space="preserve"> </w:t>
      </w:r>
      <w:r>
        <w:rPr>
          <w:rFonts w:ascii="宋体"/>
          <w:color w:val="auto"/>
          <w:sz w:val="22"/>
          <w:szCs w:val="22"/>
          <w:highlight w:val="none"/>
          <w:u w:val="single" w:color="000000"/>
        </w:rPr>
        <w:t xml:space="preserve"> </w:t>
      </w:r>
      <w:r>
        <w:rPr>
          <w:rFonts w:ascii="宋体"/>
          <w:color w:val="auto"/>
          <w:sz w:val="22"/>
          <w:szCs w:val="22"/>
          <w:highlight w:val="none"/>
        </w:rPr>
        <w:t>时</w:t>
      </w:r>
      <w:r>
        <w:rPr>
          <w:rFonts w:ascii="宋体"/>
          <w:color w:val="auto"/>
          <w:sz w:val="22"/>
          <w:szCs w:val="22"/>
          <w:highlight w:val="none"/>
          <w:u w:val="single" w:color="000000"/>
        </w:rPr>
        <w:t xml:space="preserve"> 00 </w:t>
      </w:r>
      <w:r>
        <w:rPr>
          <w:rFonts w:ascii="宋体"/>
          <w:color w:val="auto"/>
          <w:sz w:val="22"/>
          <w:szCs w:val="22"/>
          <w:highlight w:val="none"/>
        </w:rPr>
        <w:t>分（北京时间）前统一回复答疑和补遗。答疑补遗内容对竞选文件编制有重大影响的，比选会议时间将顺延。</w:t>
      </w:r>
    </w:p>
    <w:p w14:paraId="58272823">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5、竞选文件的递交</w:t>
      </w:r>
    </w:p>
    <w:p w14:paraId="50DBC693">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5.1竞选文件递交时间及地点：</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28</w:t>
      </w:r>
      <w:r>
        <w:rPr>
          <w:rFonts w:hint="eastAsia" w:ascii="宋体"/>
          <w:color w:val="auto"/>
          <w:sz w:val="22"/>
          <w:szCs w:val="22"/>
          <w:highlight w:val="none"/>
          <w:u w:val="single" w:color="000000"/>
          <w:lang w:val="en-US" w:eastAsia="zh-CN"/>
        </w:rPr>
        <w:t xml:space="preserve"> </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rPr>
        <w:t>09</w:t>
      </w:r>
      <w:r>
        <w:rPr>
          <w:rFonts w:ascii="宋体"/>
          <w:color w:val="auto"/>
          <w:sz w:val="22"/>
          <w:szCs w:val="22"/>
          <w:highlight w:val="none"/>
          <w:u w:val="single" w:color="000000"/>
        </w:rPr>
        <w:t xml:space="preserve">  </w:t>
      </w:r>
      <w:r>
        <w:rPr>
          <w:rFonts w:ascii="宋体"/>
          <w:color w:val="auto"/>
          <w:sz w:val="22"/>
          <w:szCs w:val="22"/>
          <w:highlight w:val="none"/>
        </w:rPr>
        <w:t>时</w:t>
      </w:r>
      <w:r>
        <w:rPr>
          <w:rFonts w:hint="eastAsia" w:ascii="宋体"/>
          <w:color w:val="auto"/>
          <w:sz w:val="22"/>
          <w:szCs w:val="22"/>
          <w:highlight w:val="none"/>
          <w:u w:val="single" w:color="000000"/>
        </w:rPr>
        <w:t>3</w:t>
      </w:r>
      <w:r>
        <w:rPr>
          <w:rFonts w:ascii="宋体"/>
          <w:color w:val="auto"/>
          <w:sz w:val="22"/>
          <w:szCs w:val="22"/>
          <w:highlight w:val="none"/>
          <w:u w:val="single" w:color="000000"/>
        </w:rPr>
        <w:t>0</w:t>
      </w:r>
      <w:r>
        <w:rPr>
          <w:rFonts w:ascii="宋体"/>
          <w:color w:val="auto"/>
          <w:sz w:val="22"/>
          <w:szCs w:val="22"/>
          <w:highlight w:val="none"/>
        </w:rPr>
        <w:t>分至</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hint="eastAsia" w:ascii="宋体"/>
          <w:color w:val="auto"/>
          <w:sz w:val="22"/>
          <w:szCs w:val="22"/>
          <w:highlight w:val="none"/>
          <w:u w:val="single"/>
          <w:lang w:val="en-US" w:eastAsia="zh-CN"/>
        </w:rPr>
        <w:t>28</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10</w:t>
      </w:r>
      <w:r>
        <w:rPr>
          <w:rFonts w:ascii="宋体"/>
          <w:color w:val="auto"/>
          <w:sz w:val="22"/>
          <w:szCs w:val="22"/>
          <w:highlight w:val="none"/>
          <w:u w:val="single" w:color="000000"/>
        </w:rPr>
        <w:t xml:space="preserve"> </w:t>
      </w:r>
      <w:r>
        <w:rPr>
          <w:rFonts w:ascii="宋体"/>
          <w:color w:val="auto"/>
          <w:sz w:val="22"/>
          <w:szCs w:val="22"/>
          <w:highlight w:val="none"/>
        </w:rPr>
        <w:t>时</w:t>
      </w:r>
      <w:r>
        <w:rPr>
          <w:rFonts w:hint="eastAsia" w:ascii="宋体"/>
          <w:color w:val="auto"/>
          <w:sz w:val="22"/>
          <w:szCs w:val="22"/>
          <w:highlight w:val="none"/>
          <w:u w:val="single" w:color="000000"/>
        </w:rPr>
        <w:t>0</w:t>
      </w:r>
      <w:r>
        <w:rPr>
          <w:rFonts w:ascii="宋体"/>
          <w:color w:val="auto"/>
          <w:sz w:val="22"/>
          <w:szCs w:val="22"/>
          <w:highlight w:val="none"/>
          <w:u w:val="single" w:color="000000"/>
        </w:rPr>
        <w:t>0</w:t>
      </w:r>
      <w:r>
        <w:rPr>
          <w:rFonts w:ascii="宋体"/>
          <w:color w:val="auto"/>
          <w:sz w:val="22"/>
          <w:szCs w:val="22"/>
          <w:highlight w:val="none"/>
        </w:rPr>
        <w:t>分，地点为重庆高新区金凤镇高新大道6号西区孵化楼2号楼20</w:t>
      </w:r>
      <w:r>
        <w:rPr>
          <w:rFonts w:hint="eastAsia" w:ascii="宋体"/>
          <w:color w:val="auto"/>
          <w:sz w:val="22"/>
          <w:szCs w:val="22"/>
          <w:highlight w:val="none"/>
        </w:rPr>
        <w:t>1</w:t>
      </w:r>
      <w:r>
        <w:rPr>
          <w:rFonts w:ascii="宋体"/>
          <w:color w:val="auto"/>
          <w:sz w:val="22"/>
          <w:szCs w:val="22"/>
          <w:highlight w:val="none"/>
        </w:rPr>
        <w:t xml:space="preserve">室（高德导航搜索“重庆高新区管委会 ”即可到达）。 </w:t>
      </w:r>
    </w:p>
    <w:p w14:paraId="1A14D330">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5.2竞选文件递交截止时间：</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11</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lang w:val="en-US" w:eastAsia="zh-CN"/>
        </w:rPr>
        <w:t>28</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1</w:t>
      </w:r>
      <w:r>
        <w:rPr>
          <w:rFonts w:hint="eastAsia" w:ascii="宋体"/>
          <w:color w:val="auto"/>
          <w:sz w:val="22"/>
          <w:szCs w:val="22"/>
          <w:highlight w:val="none"/>
          <w:u w:val="single" w:color="000000"/>
        </w:rPr>
        <w:t>0</w:t>
      </w:r>
      <w:r>
        <w:rPr>
          <w:rFonts w:ascii="宋体"/>
          <w:color w:val="auto"/>
          <w:sz w:val="22"/>
          <w:szCs w:val="22"/>
          <w:highlight w:val="none"/>
          <w:u w:val="single" w:color="000000"/>
        </w:rPr>
        <w:t xml:space="preserve">  </w:t>
      </w:r>
      <w:r>
        <w:rPr>
          <w:rFonts w:ascii="宋体"/>
          <w:color w:val="auto"/>
          <w:sz w:val="22"/>
          <w:szCs w:val="22"/>
          <w:highlight w:val="none"/>
        </w:rPr>
        <w:t>时</w:t>
      </w:r>
      <w:r>
        <w:rPr>
          <w:rFonts w:hint="eastAsia" w:ascii="宋体"/>
          <w:color w:val="auto"/>
          <w:sz w:val="22"/>
          <w:szCs w:val="22"/>
          <w:highlight w:val="none"/>
          <w:u w:val="single" w:color="000000"/>
        </w:rPr>
        <w:t>0</w:t>
      </w:r>
      <w:r>
        <w:rPr>
          <w:rFonts w:ascii="宋体"/>
          <w:color w:val="auto"/>
          <w:sz w:val="22"/>
          <w:szCs w:val="22"/>
          <w:highlight w:val="none"/>
          <w:u w:val="single" w:color="000000"/>
        </w:rPr>
        <w:t>0</w:t>
      </w:r>
      <w:r>
        <w:rPr>
          <w:rFonts w:ascii="宋体"/>
          <w:color w:val="auto"/>
          <w:sz w:val="22"/>
          <w:szCs w:val="22"/>
          <w:highlight w:val="none"/>
        </w:rPr>
        <w:t>分（北京时间）。</w:t>
      </w:r>
    </w:p>
    <w:p w14:paraId="4D0F87C1">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5.3逾期送达的或者未送达指定地点的竞选文件，比选人不予受理。</w:t>
      </w:r>
    </w:p>
    <w:p w14:paraId="12852F62">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6、发布公告的媒介</w:t>
      </w:r>
    </w:p>
    <w:p w14:paraId="76EC36F0">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本次比选公告在“重庆科学城城市建设集团有限公司http://www.cqgkt.com”网上发布。</w:t>
      </w:r>
    </w:p>
    <w:p w14:paraId="4B90B0A5">
      <w:pPr>
        <w:pStyle w:val="17"/>
        <w:snapToGrid w:val="0"/>
        <w:spacing w:before="0" w:after="0" w:line="560" w:lineRule="exact"/>
        <w:jc w:val="both"/>
        <w:rPr>
          <w:rFonts w:ascii="宋体"/>
          <w:color w:val="auto"/>
          <w:kern w:val="2"/>
          <w:sz w:val="28"/>
          <w:szCs w:val="28"/>
          <w:highlight w:val="none"/>
        </w:rPr>
      </w:pPr>
      <w:r>
        <w:rPr>
          <w:rFonts w:ascii="宋体"/>
          <w:color w:val="auto"/>
          <w:kern w:val="2"/>
          <w:sz w:val="28"/>
          <w:szCs w:val="28"/>
          <w:highlight w:val="none"/>
        </w:rPr>
        <w:t>7、其他</w:t>
      </w:r>
    </w:p>
    <w:p w14:paraId="21E92863">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为避免错过比选时间，建议各竞选人在竞选文件递交当日提前到场办理入场登记手续。</w:t>
      </w:r>
    </w:p>
    <w:p w14:paraId="5E00E719">
      <w:pPr>
        <w:pStyle w:val="17"/>
        <w:snapToGrid w:val="0"/>
        <w:spacing w:before="0" w:after="0" w:line="560" w:lineRule="exact"/>
        <w:jc w:val="both"/>
        <w:rPr>
          <w:rFonts w:ascii="宋体"/>
          <w:bCs w:val="0"/>
          <w:color w:val="auto"/>
          <w:kern w:val="2"/>
          <w:sz w:val="28"/>
          <w:szCs w:val="28"/>
          <w:highlight w:val="none"/>
        </w:rPr>
      </w:pPr>
      <w:r>
        <w:rPr>
          <w:rFonts w:ascii="宋体"/>
          <w:bCs w:val="0"/>
          <w:color w:val="auto"/>
          <w:kern w:val="2"/>
          <w:sz w:val="28"/>
          <w:szCs w:val="28"/>
          <w:highlight w:val="none"/>
        </w:rPr>
        <w:t>8、联系方式</w:t>
      </w:r>
    </w:p>
    <w:p w14:paraId="107FE7A7">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比选人：重庆科学城城市建设集团有限公司</w:t>
      </w:r>
    </w:p>
    <w:p w14:paraId="7CFD49D0">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地址：重庆高新区金凤镇高新大道6号西区孵化楼</w:t>
      </w:r>
    </w:p>
    <w:p w14:paraId="0A4884F6">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联系人：</w:t>
      </w:r>
      <w:r>
        <w:rPr>
          <w:rFonts w:hint="eastAsia" w:ascii="宋体"/>
          <w:color w:val="auto"/>
          <w:sz w:val="22"/>
          <w:szCs w:val="22"/>
          <w:highlight w:val="none"/>
          <w:lang w:val="en-US" w:eastAsia="zh-CN"/>
        </w:rPr>
        <w:t>聂</w:t>
      </w:r>
      <w:r>
        <w:rPr>
          <w:rFonts w:ascii="宋体"/>
          <w:color w:val="auto"/>
          <w:sz w:val="22"/>
          <w:szCs w:val="22"/>
          <w:highlight w:val="none"/>
        </w:rPr>
        <w:t>老师</w:t>
      </w:r>
    </w:p>
    <w:p w14:paraId="5B15A518">
      <w:pPr>
        <w:snapToGrid w:val="0"/>
        <w:spacing w:line="460" w:lineRule="exact"/>
        <w:ind w:firstLine="440" w:firstLineChars="200"/>
        <w:rPr>
          <w:rFonts w:ascii="宋体" w:eastAsia="宋体"/>
          <w:color w:val="auto"/>
          <w:sz w:val="22"/>
          <w:szCs w:val="22"/>
          <w:highlight w:val="none"/>
          <w:lang w:val="en-US" w:eastAsia="zh-CN"/>
        </w:rPr>
      </w:pPr>
      <w:r>
        <w:rPr>
          <w:rFonts w:ascii="宋体"/>
          <w:color w:val="auto"/>
          <w:sz w:val="22"/>
          <w:szCs w:val="22"/>
          <w:highlight w:val="none"/>
        </w:rPr>
        <w:t>联系电话：</w:t>
      </w:r>
      <w:r>
        <w:rPr>
          <w:rFonts w:ascii="宋体" w:eastAsia="宋体"/>
          <w:snapToGrid/>
          <w:color w:val="auto"/>
          <w:kern w:val="0"/>
          <w:sz w:val="22"/>
          <w:szCs w:val="22"/>
          <w:highlight w:val="none"/>
          <w:u w:val="none"/>
          <w:lang w:val="en-US" w:eastAsia="zh-CN"/>
        </w:rPr>
        <w:t>023-68186039</w:t>
      </w:r>
    </w:p>
    <w:p w14:paraId="7467F470">
      <w:pPr>
        <w:snapToGrid w:val="0"/>
        <w:spacing w:line="460" w:lineRule="exact"/>
        <w:ind w:firstLine="440" w:firstLineChars="200"/>
        <w:rPr>
          <w:rFonts w:ascii="宋体" w:eastAsia="宋体"/>
          <w:color w:val="auto"/>
          <w:sz w:val="22"/>
          <w:szCs w:val="22"/>
          <w:highlight w:val="none"/>
          <w:lang w:val="en-US" w:eastAsia="zh-CN"/>
        </w:rPr>
      </w:pPr>
      <w:r>
        <w:rPr>
          <w:rFonts w:hint="eastAsia" w:ascii="宋体"/>
          <w:color w:val="auto"/>
          <w:sz w:val="22"/>
          <w:szCs w:val="22"/>
          <w:highlight w:val="none"/>
        </w:rPr>
        <w:t>比选代理机构：</w:t>
      </w:r>
      <w:r>
        <w:rPr>
          <w:rFonts w:hint="eastAsia" w:ascii="宋体"/>
          <w:color w:val="auto"/>
          <w:sz w:val="22"/>
          <w:szCs w:val="22"/>
          <w:highlight w:val="none"/>
          <w:lang w:eastAsia="zh-CN"/>
        </w:rPr>
        <w:t>重庆</w:t>
      </w:r>
      <w:r>
        <w:rPr>
          <w:rFonts w:hint="eastAsia" w:ascii="宋体"/>
          <w:color w:val="auto"/>
          <w:sz w:val="22"/>
          <w:szCs w:val="22"/>
          <w:highlight w:val="none"/>
          <w:lang w:val="en-US" w:eastAsia="zh-CN"/>
        </w:rPr>
        <w:t>图瑞达建筑工程咨询有限公司</w:t>
      </w:r>
    </w:p>
    <w:p w14:paraId="7593AA3B">
      <w:pPr>
        <w:snapToGrid w:val="0"/>
        <w:spacing w:line="460" w:lineRule="exact"/>
        <w:ind w:firstLine="440" w:firstLineChars="200"/>
        <w:rPr>
          <w:rFonts w:hint="eastAsia" w:ascii="宋体"/>
          <w:color w:val="auto"/>
          <w:sz w:val="22"/>
          <w:szCs w:val="22"/>
          <w:highlight w:val="none"/>
          <w:lang w:eastAsia="zh-CN"/>
        </w:rPr>
      </w:pPr>
      <w:r>
        <w:rPr>
          <w:rFonts w:hint="eastAsia" w:ascii="宋体"/>
          <w:color w:val="auto"/>
          <w:sz w:val="22"/>
          <w:szCs w:val="22"/>
          <w:highlight w:val="none"/>
        </w:rPr>
        <w:t>地址：</w:t>
      </w:r>
      <w:r>
        <w:rPr>
          <w:rFonts w:hint="eastAsia" w:ascii="宋体"/>
          <w:color w:val="auto"/>
          <w:sz w:val="22"/>
          <w:szCs w:val="22"/>
          <w:highlight w:val="none"/>
          <w:lang w:eastAsia="zh-CN"/>
        </w:rPr>
        <w:t>重庆市高新区含谷镇高龙大道（延长段）377号</w:t>
      </w:r>
    </w:p>
    <w:p w14:paraId="6D1811C2">
      <w:pPr>
        <w:snapToGrid w:val="0"/>
        <w:spacing w:line="460" w:lineRule="exact"/>
        <w:ind w:firstLine="440" w:firstLineChars="200"/>
        <w:rPr>
          <w:rFonts w:hint="eastAsia" w:ascii="宋体" w:eastAsia="宋体"/>
          <w:color w:val="auto"/>
          <w:sz w:val="22"/>
          <w:szCs w:val="22"/>
          <w:highlight w:val="none"/>
          <w:lang w:eastAsia="zh-CN"/>
        </w:rPr>
      </w:pPr>
      <w:r>
        <w:rPr>
          <w:rFonts w:ascii="宋体"/>
          <w:color w:val="auto"/>
          <w:sz w:val="22"/>
          <w:szCs w:val="22"/>
          <w:highlight w:val="none"/>
        </w:rPr>
        <w:t>联系人：</w:t>
      </w:r>
      <w:r>
        <w:rPr>
          <w:rFonts w:hint="eastAsia" w:ascii="宋体"/>
          <w:color w:val="auto"/>
          <w:sz w:val="22"/>
          <w:szCs w:val="22"/>
          <w:highlight w:val="none"/>
          <w:lang w:val="en-US" w:eastAsia="zh-CN"/>
        </w:rPr>
        <w:t>周老师</w:t>
      </w:r>
    </w:p>
    <w:p w14:paraId="21C22961">
      <w:pPr>
        <w:snapToGrid w:val="0"/>
        <w:spacing w:line="460" w:lineRule="exact"/>
        <w:ind w:firstLine="440" w:firstLineChars="200"/>
        <w:rPr>
          <w:rFonts w:ascii="宋体" w:eastAsia="宋体"/>
          <w:color w:val="auto"/>
          <w:sz w:val="22"/>
          <w:szCs w:val="22"/>
          <w:highlight w:val="none"/>
          <w:lang w:val="en-US" w:eastAsia="zh-CN"/>
        </w:rPr>
      </w:pPr>
      <w:r>
        <w:rPr>
          <w:rFonts w:ascii="宋体"/>
          <w:color w:val="auto"/>
          <w:sz w:val="22"/>
          <w:szCs w:val="22"/>
          <w:highlight w:val="none"/>
        </w:rPr>
        <w:t>联系电话：</w:t>
      </w:r>
      <w:r>
        <w:rPr>
          <w:rFonts w:hint="eastAsia" w:ascii="宋体" w:eastAsia="宋体"/>
          <w:snapToGrid/>
          <w:color w:val="auto"/>
          <w:kern w:val="0"/>
          <w:sz w:val="22"/>
          <w:szCs w:val="22"/>
          <w:highlight w:val="none"/>
          <w:u w:val="none"/>
          <w:lang w:val="en-US" w:eastAsia="zh-CN"/>
        </w:rPr>
        <w:t>13629705703</w:t>
      </w:r>
    </w:p>
    <w:p w14:paraId="770BF9D9">
      <w:pPr>
        <w:pStyle w:val="11"/>
        <w:snapToGrid w:val="0"/>
        <w:spacing w:line="460" w:lineRule="exact"/>
        <w:jc w:val="center"/>
        <w:rPr>
          <w:rFonts w:ascii="宋体" w:cs="黑体"/>
          <w:color w:val="auto"/>
          <w:highlight w:val="none"/>
        </w:rPr>
      </w:pPr>
      <w:r>
        <w:rPr>
          <w:rFonts w:ascii="黑体" w:eastAsia="黑体"/>
          <w:color w:val="auto"/>
          <w:kern w:val="2"/>
          <w:highlight w:val="none"/>
        </w:rPr>
        <w:br w:type="page"/>
      </w:r>
      <w:r>
        <w:rPr>
          <w:rFonts w:ascii="黑体" w:eastAsia="黑体"/>
          <w:bCs w:val="0"/>
          <w:color w:val="auto"/>
          <w:kern w:val="2"/>
          <w:highlight w:val="none"/>
        </w:rPr>
        <w:t>第二章  竞选人须知</w:t>
      </w:r>
    </w:p>
    <w:p w14:paraId="7113ED94">
      <w:pPr>
        <w:keepLines/>
        <w:snapToGrid w:val="0"/>
        <w:spacing w:line="520" w:lineRule="exact"/>
        <w:rPr>
          <w:rFonts w:ascii="宋体" w:cs="Times New Roman"/>
          <w:b/>
          <w:bCs/>
          <w:color w:val="auto"/>
          <w:kern w:val="2"/>
          <w:sz w:val="28"/>
          <w:szCs w:val="28"/>
          <w:highlight w:val="none"/>
        </w:rPr>
      </w:pPr>
      <w:r>
        <w:rPr>
          <w:rFonts w:ascii="宋体" w:cs="Times New Roman"/>
          <w:b/>
          <w:bCs/>
          <w:color w:val="auto"/>
          <w:kern w:val="2"/>
          <w:sz w:val="28"/>
          <w:szCs w:val="28"/>
          <w:highlight w:val="none"/>
        </w:rPr>
        <w:t>1、项目名称</w:t>
      </w:r>
    </w:p>
    <w:p w14:paraId="1908A799">
      <w:pPr>
        <w:snapToGrid w:val="0"/>
        <w:spacing w:line="520" w:lineRule="exact"/>
        <w:ind w:firstLine="440" w:firstLineChars="200"/>
        <w:rPr>
          <w:rFonts w:ascii="宋体"/>
          <w:color w:val="auto"/>
          <w:sz w:val="22"/>
          <w:szCs w:val="22"/>
          <w:highlight w:val="none"/>
        </w:rPr>
      </w:pPr>
      <w:r>
        <w:rPr>
          <w:rFonts w:hint="eastAsia" w:ascii="宋体" w:eastAsia="宋体" w:cs="Arial"/>
          <w:bCs w:val="0"/>
          <w:color w:val="auto"/>
          <w:sz w:val="22"/>
          <w:szCs w:val="22"/>
          <w:highlight w:val="none"/>
          <w:lang w:val="en-US" w:eastAsia="zh-CN"/>
        </w:rPr>
        <w:t>西永综保区进口整车展示及存储中心及周边配套工程—广达生活区A线道路东延段工程</w:t>
      </w:r>
      <w:r>
        <w:rPr>
          <w:rFonts w:hint="eastAsia" w:ascii="宋体" w:eastAsia="宋体" w:cs="Arial"/>
          <w:bCs w:val="0"/>
          <w:color w:val="auto"/>
          <w:sz w:val="22"/>
          <w:szCs w:val="22"/>
          <w:highlight w:val="none"/>
        </w:rPr>
        <w:t>第三方</w:t>
      </w:r>
      <w:r>
        <w:rPr>
          <w:rFonts w:hint="eastAsia" w:ascii="宋体" w:eastAsia="宋体" w:cs="Arial"/>
          <w:bCs w:val="0"/>
          <w:color w:val="auto"/>
          <w:sz w:val="22"/>
          <w:szCs w:val="22"/>
          <w:highlight w:val="none"/>
          <w:lang w:val="en-US" w:eastAsia="zh-CN"/>
        </w:rPr>
        <w:t>涉轨</w:t>
      </w:r>
      <w:r>
        <w:rPr>
          <w:rFonts w:hint="eastAsia" w:ascii="宋体" w:eastAsia="宋体" w:cs="Arial"/>
          <w:bCs w:val="0"/>
          <w:color w:val="auto"/>
          <w:sz w:val="22"/>
          <w:szCs w:val="22"/>
          <w:highlight w:val="none"/>
        </w:rPr>
        <w:t>监测</w:t>
      </w:r>
      <w:r>
        <w:rPr>
          <w:rFonts w:hint="eastAsia" w:ascii="宋体" w:eastAsia="宋体"/>
          <w:color w:val="auto"/>
          <w:sz w:val="22"/>
          <w:szCs w:val="22"/>
          <w:highlight w:val="none"/>
        </w:rPr>
        <w:t>。</w:t>
      </w:r>
    </w:p>
    <w:p w14:paraId="0B55C477">
      <w:pPr>
        <w:keepLines/>
        <w:snapToGrid w:val="0"/>
        <w:spacing w:line="520" w:lineRule="exact"/>
        <w:rPr>
          <w:rFonts w:ascii="宋体" w:cs="Times New Roman"/>
          <w:b/>
          <w:bCs/>
          <w:color w:val="auto"/>
          <w:kern w:val="2"/>
          <w:sz w:val="28"/>
          <w:szCs w:val="28"/>
          <w:highlight w:val="none"/>
        </w:rPr>
      </w:pPr>
      <w:r>
        <w:rPr>
          <w:rFonts w:ascii="宋体" w:cs="Times New Roman"/>
          <w:b/>
          <w:bCs/>
          <w:color w:val="auto"/>
          <w:kern w:val="2"/>
          <w:sz w:val="28"/>
          <w:szCs w:val="28"/>
          <w:highlight w:val="none"/>
        </w:rPr>
        <w:t>2、项目地址</w:t>
      </w:r>
    </w:p>
    <w:p w14:paraId="6C01940E">
      <w:pPr>
        <w:snapToGrid w:val="0"/>
        <w:spacing w:line="520" w:lineRule="exact"/>
        <w:ind w:firstLine="440" w:firstLineChars="200"/>
        <w:rPr>
          <w:rFonts w:ascii="宋体"/>
          <w:color w:val="auto"/>
          <w:sz w:val="22"/>
          <w:szCs w:val="22"/>
          <w:highlight w:val="none"/>
        </w:rPr>
      </w:pPr>
      <w:r>
        <w:rPr>
          <w:rFonts w:ascii="宋体" w:eastAsia="宋体" w:cs="Arial"/>
          <w:color w:val="auto"/>
          <w:kern w:val="0"/>
          <w:sz w:val="22"/>
          <w:szCs w:val="22"/>
          <w:highlight w:val="none"/>
          <w:lang w:val="en-US" w:eastAsia="zh-CN"/>
        </w:rPr>
        <w:t>高新区曾家镇，西接广达生活区一期 A 线道路，东向止于寨山坪山脚</w:t>
      </w:r>
      <w:r>
        <w:rPr>
          <w:rFonts w:ascii="宋体"/>
          <w:color w:val="auto"/>
          <w:sz w:val="22"/>
          <w:szCs w:val="22"/>
          <w:highlight w:val="none"/>
        </w:rPr>
        <w:t>。</w:t>
      </w:r>
    </w:p>
    <w:p w14:paraId="44C901D1">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3、资金情况</w:t>
      </w:r>
    </w:p>
    <w:p w14:paraId="5BF6D50A">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业主自筹。</w:t>
      </w:r>
    </w:p>
    <w:p w14:paraId="27228243">
      <w:pPr>
        <w:keepLines/>
        <w:snapToGrid w:val="0"/>
        <w:spacing w:line="520" w:lineRule="exact"/>
        <w:rPr>
          <w:rFonts w:ascii="宋体" w:cs="Times New Roman"/>
          <w:b/>
          <w:bCs/>
          <w:color w:val="auto"/>
          <w:kern w:val="2"/>
          <w:sz w:val="28"/>
          <w:szCs w:val="28"/>
          <w:highlight w:val="none"/>
        </w:rPr>
      </w:pPr>
      <w:r>
        <w:rPr>
          <w:rFonts w:ascii="宋体" w:cs="Times New Roman"/>
          <w:b/>
          <w:bCs/>
          <w:color w:val="auto"/>
          <w:kern w:val="2"/>
          <w:sz w:val="28"/>
          <w:szCs w:val="28"/>
          <w:highlight w:val="none"/>
        </w:rPr>
        <w:t>4、</w:t>
      </w:r>
      <w:r>
        <w:rPr>
          <w:rFonts w:ascii="宋体" w:cs="Times New Roman"/>
          <w:b/>
          <w:bCs/>
          <w:color w:val="auto"/>
          <w:sz w:val="28"/>
          <w:szCs w:val="28"/>
          <w:highlight w:val="none"/>
        </w:rPr>
        <w:t>建设规模、比选范围及服务期、质量标准</w:t>
      </w:r>
    </w:p>
    <w:p w14:paraId="1CF52F66">
      <w:pPr>
        <w:snapToGrid w:val="0"/>
        <w:spacing w:line="520" w:lineRule="exact"/>
        <w:ind w:firstLine="440" w:firstLineChars="200"/>
        <w:rPr>
          <w:rFonts w:hint="eastAsia" w:ascii="宋体"/>
          <w:color w:val="auto"/>
          <w:sz w:val="22"/>
          <w:szCs w:val="22"/>
          <w:highlight w:val="none"/>
          <w:lang w:val="en-US" w:eastAsia="zh-CN"/>
        </w:rPr>
      </w:pPr>
      <w:r>
        <w:rPr>
          <w:rFonts w:ascii="宋体"/>
          <w:color w:val="auto"/>
          <w:sz w:val="22"/>
          <w:szCs w:val="22"/>
          <w:highlight w:val="none"/>
        </w:rPr>
        <w:t>4.1建设规模及内容：</w:t>
      </w:r>
      <w:r>
        <w:rPr>
          <w:rFonts w:hint="eastAsia" w:ascii="宋体" w:eastAsia="宋体" w:cs="Arial"/>
          <w:color w:val="auto"/>
          <w:kern w:val="0"/>
          <w:sz w:val="22"/>
          <w:szCs w:val="22"/>
          <w:highlight w:val="none"/>
          <w:lang w:val="en-US" w:eastAsia="zh-CN"/>
        </w:rPr>
        <w:t>西永综合保税区进口整车展示存储中心及周边配套工程-广达生活区 A 线道路东延段工程全长约 840 米，道路等级为城市主干道，双向六车道，标准路幅宽度为 38m。包括但不限于海绵城市、沿线包含一条全长约 1.66km 的电力隧道、岩土工程、交通工程、照明工程、景观工程等。</w:t>
      </w:r>
      <w:r>
        <w:rPr>
          <w:rFonts w:hint="eastAsia" w:ascii="宋体"/>
          <w:color w:val="auto"/>
          <w:sz w:val="22"/>
          <w:szCs w:val="22"/>
          <w:highlight w:val="none"/>
          <w:lang w:val="en-US" w:eastAsia="zh-CN"/>
        </w:rPr>
        <w:t>根据重庆市城乡建设委员会《重庆市轨道交通控制保护区管理办法》(渝建发〔2018〕295号)第十八条规定：在轨道控制保护区范围内的建设项目，项目建设单位应在项目开工前会同轨道交通建设或运营单位制定对轨道交通设施的安全保护方案，并按规定委托具有相应资质的第三方监测机构就项目建设对轨道交通设施影响编制第三方监测方案。</w:t>
      </w:r>
    </w:p>
    <w:p w14:paraId="6A4918C0">
      <w:pPr>
        <w:snapToGrid w:val="0"/>
        <w:spacing w:line="520" w:lineRule="exact"/>
        <w:ind w:firstLine="440" w:firstLineChars="200"/>
        <w:rPr>
          <w:rFonts w:hint="eastAsia" w:ascii="宋体"/>
          <w:color w:val="auto"/>
          <w:sz w:val="22"/>
          <w:szCs w:val="22"/>
          <w:highlight w:val="none"/>
        </w:rPr>
      </w:pPr>
      <w:r>
        <w:rPr>
          <w:rFonts w:ascii="宋体"/>
          <w:color w:val="auto"/>
          <w:sz w:val="22"/>
          <w:szCs w:val="22"/>
          <w:highlight w:val="none"/>
        </w:rPr>
        <w:t>4.2比选范围：</w:t>
      </w:r>
      <w:r>
        <w:rPr>
          <w:rFonts w:hint="eastAsia" w:ascii="宋体"/>
          <w:color w:val="auto"/>
          <w:sz w:val="22"/>
          <w:szCs w:val="22"/>
          <w:highlight w:val="none"/>
        </w:rPr>
        <w:t>完成本项目建设范围内的</w:t>
      </w:r>
      <w:r>
        <w:rPr>
          <w:rFonts w:ascii="宋体"/>
          <w:color w:val="auto"/>
          <w:sz w:val="22"/>
          <w:szCs w:val="22"/>
          <w:highlight w:val="none"/>
        </w:rPr>
        <w:t>涉轨</w:t>
      </w:r>
      <w:r>
        <w:rPr>
          <w:rFonts w:hint="eastAsia" w:ascii="宋体"/>
          <w:color w:val="auto"/>
          <w:sz w:val="22"/>
          <w:szCs w:val="22"/>
          <w:highlight w:val="none"/>
        </w:rPr>
        <w:t>监测服务工作</w:t>
      </w:r>
      <w:r>
        <w:rPr>
          <w:rFonts w:hint="eastAsia" w:ascii="宋体"/>
          <w:color w:val="auto"/>
          <w:sz w:val="21"/>
          <w:szCs w:val="21"/>
          <w:highlight w:val="none"/>
          <w:lang w:eastAsia="zh-CN"/>
        </w:rPr>
        <w:t>，</w:t>
      </w:r>
      <w:r>
        <w:rPr>
          <w:rFonts w:ascii="宋体"/>
          <w:color w:val="auto"/>
          <w:sz w:val="22"/>
          <w:szCs w:val="22"/>
          <w:highlight w:val="none"/>
        </w:rPr>
        <w:t>对</w:t>
      </w:r>
      <w:r>
        <w:rPr>
          <w:rFonts w:hint="eastAsia" w:ascii="宋体"/>
          <w:bCs/>
          <w:color w:val="auto"/>
          <w:sz w:val="22"/>
          <w:szCs w:val="22"/>
          <w:highlight w:val="none"/>
        </w:rPr>
        <w:t>轨道交通结构设施、围（支）护结构体系、地下水、周边环境及岩土体等的变化情况按一定的周期进行量测、巡查、分析和反馈监测成果</w:t>
      </w:r>
      <w:r>
        <w:rPr>
          <w:rFonts w:ascii="宋体"/>
          <w:bCs/>
          <w:color w:val="auto"/>
          <w:sz w:val="22"/>
          <w:szCs w:val="22"/>
          <w:highlight w:val="none"/>
        </w:rPr>
        <w:t>，</w:t>
      </w:r>
      <w:r>
        <w:rPr>
          <w:rFonts w:ascii="宋体"/>
          <w:color w:val="auto"/>
          <w:sz w:val="21"/>
          <w:szCs w:val="21"/>
          <w:highlight w:val="none"/>
        </w:rPr>
        <w:t>以</w:t>
      </w:r>
      <w:r>
        <w:rPr>
          <w:rFonts w:ascii="宋体"/>
          <w:color w:val="auto"/>
          <w:sz w:val="22"/>
          <w:szCs w:val="22"/>
          <w:highlight w:val="none"/>
        </w:rPr>
        <w:t>及国家标准和地方规范要求必须监测的内容。包含但不限于现状摸排、基准网建立及观测、</w:t>
      </w:r>
      <w:r>
        <w:rPr>
          <w:rFonts w:ascii="宋体"/>
          <w:color w:val="auto"/>
          <w:sz w:val="22"/>
          <w:szCs w:val="22"/>
          <w:highlight w:val="none"/>
        </w:rPr>
        <w:t>水平及竖向位移、结构监测、净空收敛、倾斜、裂缝测量、宏观巡查、仪器设备安设、方案编制及审查、其他技术工作等以及其他全部相关工作</w:t>
      </w:r>
      <w:r>
        <w:rPr>
          <w:rFonts w:ascii="宋体"/>
          <w:color w:val="auto"/>
          <w:sz w:val="22"/>
          <w:szCs w:val="22"/>
          <w:highlight w:val="none"/>
        </w:rPr>
        <w:t>，前述监测内容并非完全列举，具体监测范围及要求应符合强制性质量标准，符合国家、重庆市相关法律法规、技术标准、规范、规程以及设计要求，并达到验收合格标准。 竞选人应当根据施工图及工程施工现场需要编制监测方案，合理布置监测点位、监测内容及监测频率等。（注：竞选人以实现监测效果，确保工程施工安全为目的，根据相关文件要求自行编制监测方案，实施、完善监测点设置，合理调整监测频率和监测期数，满足相关规范要求，并按实结算）。具体包含按国家相关规范及设计要求完成施工图范围内的所有内容、比选文件、比选文件补遗、答疑、澄清中补充的全部工程内容及其它保证施工顺利进行的各种协调工作等</w:t>
      </w:r>
      <w:r>
        <w:rPr>
          <w:rFonts w:hint="eastAsia" w:ascii="宋体"/>
          <w:color w:val="auto"/>
          <w:sz w:val="22"/>
          <w:szCs w:val="22"/>
          <w:highlight w:val="none"/>
          <w:lang w:eastAsia="zh-CN"/>
        </w:rPr>
        <w:t>。</w:t>
      </w:r>
    </w:p>
    <w:p w14:paraId="2B78838C">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4.3</w:t>
      </w:r>
      <w:r>
        <w:rPr>
          <w:rFonts w:ascii="宋体"/>
          <w:color w:val="auto"/>
          <w:sz w:val="22"/>
          <w:szCs w:val="22"/>
          <w:highlight w:val="none"/>
        </w:rPr>
        <w:t>服务期：</w:t>
      </w:r>
      <w:r>
        <w:rPr>
          <w:rFonts w:hint="eastAsia" w:ascii="宋体"/>
          <w:color w:val="auto"/>
          <w:sz w:val="22"/>
          <w:szCs w:val="22"/>
          <w:highlight w:val="none"/>
        </w:rPr>
        <w:t>完成项目施工阶段、竣完工验收阶段</w:t>
      </w:r>
      <w:r>
        <w:rPr>
          <w:rFonts w:ascii="宋体"/>
          <w:color w:val="auto"/>
          <w:sz w:val="22"/>
          <w:szCs w:val="22"/>
          <w:highlight w:val="none"/>
        </w:rPr>
        <w:t>、</w:t>
      </w:r>
      <w:r>
        <w:rPr>
          <w:rFonts w:hint="eastAsia" w:ascii="宋体"/>
          <w:color w:val="auto"/>
          <w:sz w:val="22"/>
          <w:szCs w:val="22"/>
          <w:highlight w:val="none"/>
        </w:rPr>
        <w:t>缺陷责任期</w:t>
      </w:r>
      <w:r>
        <w:rPr>
          <w:rFonts w:ascii="宋体"/>
          <w:color w:val="auto"/>
          <w:sz w:val="22"/>
          <w:szCs w:val="22"/>
          <w:highlight w:val="none"/>
        </w:rPr>
        <w:t>以及轨道运营期限1年内</w:t>
      </w:r>
      <w:r>
        <w:rPr>
          <w:rFonts w:hint="eastAsia" w:ascii="宋体"/>
          <w:color w:val="auto"/>
          <w:sz w:val="22"/>
          <w:szCs w:val="22"/>
          <w:highlight w:val="none"/>
        </w:rPr>
        <w:t>应进行</w:t>
      </w:r>
      <w:r>
        <w:rPr>
          <w:rFonts w:ascii="宋体"/>
          <w:color w:val="auto"/>
          <w:sz w:val="22"/>
          <w:szCs w:val="22"/>
          <w:highlight w:val="none"/>
        </w:rPr>
        <w:t>涉轨</w:t>
      </w:r>
      <w:r>
        <w:rPr>
          <w:rFonts w:hint="eastAsia" w:ascii="宋体"/>
          <w:color w:val="auto"/>
          <w:sz w:val="22"/>
          <w:szCs w:val="22"/>
          <w:highlight w:val="none"/>
        </w:rPr>
        <w:t>监测的全部服务。其中，施工工期暂定</w:t>
      </w:r>
      <w:r>
        <w:rPr>
          <w:rFonts w:ascii="宋体"/>
          <w:color w:val="auto"/>
          <w:sz w:val="22"/>
          <w:szCs w:val="22"/>
          <w:highlight w:val="none"/>
          <w:lang w:val="en-US" w:eastAsia="zh-CN"/>
        </w:rPr>
        <w:t>540</w:t>
      </w:r>
      <w:r>
        <w:rPr>
          <w:rFonts w:hint="eastAsia" w:ascii="宋体"/>
          <w:color w:val="auto"/>
          <w:sz w:val="22"/>
          <w:szCs w:val="22"/>
          <w:highlight w:val="none"/>
        </w:rPr>
        <w:t>日历天（具体以施工项目实际开工，竣工验收之日为准，监测服务期以实际工期为准），缺陷责任期24个月</w:t>
      </w:r>
      <w:r>
        <w:rPr>
          <w:rFonts w:ascii="宋体"/>
          <w:color w:val="auto"/>
          <w:sz w:val="22"/>
          <w:szCs w:val="22"/>
          <w:highlight w:val="none"/>
        </w:rPr>
        <w:t>，轨道运营期限1年（以轨道实际开始运营起始时间为准计算1年）。</w:t>
      </w:r>
      <w:r>
        <w:rPr>
          <w:rFonts w:hint="eastAsia" w:ascii="宋体"/>
          <w:color w:val="auto"/>
          <w:sz w:val="22"/>
          <w:szCs w:val="22"/>
          <w:highlight w:val="none"/>
        </w:rPr>
        <w:t>具体监测开始时间以委托方通知为准，承担方未经委托方允许擅自开工监测的，委托方不予认可。承担方应在监测工期内向委托方提交</w:t>
      </w:r>
      <w:r>
        <w:rPr>
          <w:rFonts w:ascii="宋体"/>
          <w:color w:val="auto"/>
          <w:sz w:val="22"/>
          <w:szCs w:val="22"/>
          <w:highlight w:val="none"/>
        </w:rPr>
        <w:t>经轨道产权单位及相关主管部门（如有）审批通过的</w:t>
      </w:r>
      <w:r>
        <w:rPr>
          <w:rFonts w:hint="eastAsia" w:ascii="宋体"/>
          <w:color w:val="auto"/>
          <w:sz w:val="22"/>
          <w:szCs w:val="22"/>
          <w:highlight w:val="none"/>
        </w:rPr>
        <w:t>监测</w:t>
      </w:r>
      <w:r>
        <w:rPr>
          <w:rFonts w:ascii="宋体"/>
          <w:color w:val="auto"/>
          <w:sz w:val="22"/>
          <w:szCs w:val="22"/>
          <w:highlight w:val="none"/>
        </w:rPr>
        <w:t>方案，</w:t>
      </w:r>
      <w:r>
        <w:rPr>
          <w:rFonts w:hint="eastAsia" w:ascii="宋体"/>
          <w:color w:val="auto"/>
          <w:sz w:val="22"/>
          <w:szCs w:val="22"/>
          <w:highlight w:val="none"/>
        </w:rPr>
        <w:t>监测频率按有关规定执行</w:t>
      </w:r>
      <w:r>
        <w:rPr>
          <w:rFonts w:ascii="宋体"/>
          <w:color w:val="auto"/>
          <w:sz w:val="22"/>
          <w:szCs w:val="22"/>
          <w:highlight w:val="none"/>
        </w:rPr>
        <w:t>及</w:t>
      </w:r>
      <w:r>
        <w:rPr>
          <w:rFonts w:hint="eastAsia" w:ascii="宋体"/>
          <w:color w:val="auto"/>
          <w:sz w:val="22"/>
          <w:szCs w:val="22"/>
          <w:highlight w:val="none"/>
        </w:rPr>
        <w:t>批准的监测方案执行</w:t>
      </w:r>
      <w:r>
        <w:rPr>
          <w:rFonts w:ascii="宋体"/>
          <w:color w:val="auto"/>
          <w:sz w:val="22"/>
          <w:szCs w:val="22"/>
          <w:highlight w:val="none"/>
        </w:rPr>
        <w:t>，并向委托方提供满足规范要求的监测报告</w:t>
      </w:r>
      <w:r>
        <w:rPr>
          <w:rFonts w:hint="eastAsia" w:ascii="宋体"/>
          <w:color w:val="auto"/>
          <w:sz w:val="22"/>
          <w:szCs w:val="22"/>
          <w:highlight w:val="none"/>
        </w:rPr>
        <w:t>。</w:t>
      </w:r>
    </w:p>
    <w:p w14:paraId="24176ABD">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4.4质量标准：</w:t>
      </w:r>
      <w:r>
        <w:rPr>
          <w:rFonts w:ascii="宋体" w:eastAsia="宋体" w:cs="Arial"/>
          <w:color w:val="auto"/>
          <w:sz w:val="22"/>
          <w:szCs w:val="22"/>
          <w:highlight w:val="none"/>
        </w:rPr>
        <w:t>达到国家和重庆市现行有关技术规范和质量标准要求，并达到合格标准。</w:t>
      </w:r>
    </w:p>
    <w:p w14:paraId="0F4E2B59">
      <w:pPr>
        <w:keepLines/>
        <w:snapToGrid w:val="0"/>
        <w:spacing w:line="520" w:lineRule="exact"/>
        <w:rPr>
          <w:rFonts w:ascii="宋体" w:cs="Times New Roman"/>
          <w:b/>
          <w:bCs/>
          <w:color w:val="auto"/>
          <w:kern w:val="2"/>
          <w:sz w:val="28"/>
          <w:szCs w:val="28"/>
          <w:highlight w:val="none"/>
        </w:rPr>
      </w:pPr>
      <w:r>
        <w:rPr>
          <w:rFonts w:ascii="宋体" w:cs="Times New Roman"/>
          <w:b/>
          <w:bCs/>
          <w:color w:val="auto"/>
          <w:kern w:val="2"/>
          <w:sz w:val="28"/>
          <w:szCs w:val="28"/>
          <w:highlight w:val="none"/>
        </w:rPr>
        <w:t>5、竞选人资格要求</w:t>
      </w:r>
    </w:p>
    <w:p w14:paraId="564747B1">
      <w:pPr>
        <w:snapToGrid w:val="0"/>
        <w:spacing w:line="520" w:lineRule="exact"/>
        <w:rPr>
          <w:rFonts w:ascii="宋体" w:cs="Times New Roman"/>
          <w:b/>
          <w:bCs/>
          <w:color w:val="auto"/>
          <w:sz w:val="22"/>
          <w:szCs w:val="22"/>
          <w:highlight w:val="none"/>
        </w:rPr>
      </w:pPr>
      <w:r>
        <w:rPr>
          <w:rFonts w:ascii="宋体" w:cs="Times New Roman"/>
          <w:b/>
          <w:bCs/>
          <w:color w:val="auto"/>
          <w:sz w:val="22"/>
          <w:szCs w:val="22"/>
          <w:highlight w:val="none"/>
        </w:rPr>
        <w:t>5.1资质条件及营业执照</w:t>
      </w:r>
    </w:p>
    <w:p w14:paraId="64E3C180">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（1）具备有效的营业执照。</w:t>
      </w:r>
    </w:p>
    <w:p w14:paraId="393ABA99">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注：竞选人须在竞选文件资格审查部分提供有效的带二维码标识的营业执照复印件。</w:t>
      </w:r>
    </w:p>
    <w:p w14:paraId="3CBDF58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（2）竞选人须</w:t>
      </w:r>
      <w:r>
        <w:rPr>
          <w:rFonts w:ascii="宋体"/>
          <w:color w:val="auto"/>
          <w:sz w:val="22"/>
          <w:szCs w:val="22"/>
          <w:highlight w:val="none"/>
          <w:lang w:eastAsia="zh-CN"/>
        </w:rPr>
        <w:t>同时具备</w:t>
      </w:r>
      <w:r>
        <w:rPr>
          <w:rFonts w:hint="eastAsia" w:ascii="宋体"/>
          <w:color w:val="auto"/>
          <w:sz w:val="22"/>
          <w:szCs w:val="22"/>
          <w:highlight w:val="none"/>
        </w:rPr>
        <w:t>建设行政主管部门颁发的工程勘察综合类甲级资质</w:t>
      </w:r>
      <w:r>
        <w:rPr>
          <w:rFonts w:ascii="宋体"/>
          <w:color w:val="auto"/>
          <w:sz w:val="22"/>
          <w:szCs w:val="22"/>
          <w:highlight w:val="none"/>
          <w:lang w:eastAsia="zh-CN"/>
        </w:rPr>
        <w:t>和</w:t>
      </w:r>
      <w:r>
        <w:rPr>
          <w:rFonts w:hint="eastAsia" w:ascii="宋体"/>
          <w:color w:val="auto"/>
          <w:sz w:val="22"/>
          <w:szCs w:val="22"/>
          <w:highlight w:val="none"/>
        </w:rPr>
        <w:t>测绘主管部门颁发的测绘乙级及以上资质。</w:t>
      </w:r>
    </w:p>
    <w:p w14:paraId="0C572B72">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注：竞选人须在竞选文件资格审查部分提供有效的资质证书复印件。</w:t>
      </w:r>
    </w:p>
    <w:p w14:paraId="72445AE7">
      <w:pPr>
        <w:pStyle w:val="16"/>
        <w:snapToGrid w:val="0"/>
        <w:spacing w:before="312"/>
        <w:rPr>
          <w:rFonts w:ascii="宋体" w:cs="Times New Roman"/>
          <w:b/>
          <w:bCs/>
          <w:color w:val="auto"/>
          <w:sz w:val="22"/>
          <w:szCs w:val="22"/>
          <w:highlight w:val="none"/>
        </w:rPr>
      </w:pPr>
      <w:r>
        <w:rPr>
          <w:rFonts w:ascii="宋体" w:cs="Times New Roman"/>
          <w:b/>
          <w:bCs/>
          <w:color w:val="auto"/>
          <w:sz w:val="22"/>
          <w:szCs w:val="22"/>
          <w:highlight w:val="none"/>
        </w:rPr>
        <w:t>5.2财务要求</w:t>
      </w:r>
    </w:p>
    <w:p w14:paraId="67CAC311">
      <w:pPr>
        <w:snapToGrid w:val="0"/>
        <w:spacing w:line="520" w:lineRule="exact"/>
        <w:ind w:firstLine="330" w:firstLineChars="150"/>
        <w:rPr>
          <w:rFonts w:ascii="宋体"/>
          <w:color w:val="auto"/>
          <w:sz w:val="22"/>
          <w:szCs w:val="22"/>
          <w:highlight w:val="none"/>
        </w:rPr>
      </w:pPr>
      <w:r>
        <w:rPr>
          <w:rFonts w:hint="eastAsia" w:ascii="宋体"/>
          <w:color w:val="auto"/>
          <w:sz w:val="22"/>
          <w:szCs w:val="22"/>
          <w:highlight w:val="none"/>
        </w:rPr>
        <w:t>202</w:t>
      </w:r>
      <w:r>
        <w:rPr>
          <w:rFonts w:hint="eastAsia" w:ascii="宋体"/>
          <w:color w:val="auto"/>
          <w:sz w:val="22"/>
          <w:szCs w:val="22"/>
          <w:highlight w:val="none"/>
          <w:lang w:val="en-US" w:eastAsia="zh-CN"/>
        </w:rPr>
        <w:t>2</w:t>
      </w:r>
      <w:r>
        <w:rPr>
          <w:rFonts w:hint="eastAsia" w:ascii="宋体"/>
          <w:color w:val="auto"/>
          <w:sz w:val="22"/>
          <w:szCs w:val="22"/>
          <w:highlight w:val="none"/>
        </w:rPr>
        <w:t>年、202</w:t>
      </w:r>
      <w:r>
        <w:rPr>
          <w:rFonts w:hint="eastAsia" w:ascii="宋体"/>
          <w:color w:val="auto"/>
          <w:sz w:val="22"/>
          <w:szCs w:val="22"/>
          <w:highlight w:val="none"/>
          <w:lang w:val="en-US" w:eastAsia="zh-CN"/>
        </w:rPr>
        <w:t>3</w:t>
      </w:r>
      <w:r>
        <w:rPr>
          <w:rFonts w:hint="eastAsia" w:ascii="宋体"/>
          <w:color w:val="auto"/>
          <w:sz w:val="22"/>
          <w:szCs w:val="22"/>
          <w:highlight w:val="none"/>
        </w:rPr>
        <w:t>年、202</w:t>
      </w:r>
      <w:r>
        <w:rPr>
          <w:rFonts w:hint="eastAsia" w:ascii="宋体"/>
          <w:color w:val="auto"/>
          <w:sz w:val="22"/>
          <w:szCs w:val="22"/>
          <w:highlight w:val="none"/>
          <w:lang w:val="en-US" w:eastAsia="zh-CN"/>
        </w:rPr>
        <w:t>4</w:t>
      </w:r>
      <w:r>
        <w:rPr>
          <w:rFonts w:hint="eastAsia" w:ascii="宋体"/>
          <w:color w:val="auto"/>
          <w:sz w:val="22"/>
          <w:szCs w:val="22"/>
          <w:highlight w:val="none"/>
        </w:rPr>
        <w:t>年的年度财务状况不亏损</w:t>
      </w:r>
      <w:r>
        <w:rPr>
          <w:rFonts w:ascii="宋体"/>
          <w:color w:val="auto"/>
          <w:sz w:val="22"/>
          <w:szCs w:val="22"/>
          <w:highlight w:val="none"/>
        </w:rPr>
        <w:t>。</w:t>
      </w:r>
    </w:p>
    <w:p w14:paraId="76AD77A7">
      <w:pPr>
        <w:snapToGrid w:val="0"/>
        <w:spacing w:line="520" w:lineRule="exact"/>
        <w:ind w:firstLine="442" w:firstLineChars="200"/>
        <w:rPr>
          <w:rFonts w:ascii="宋体" w:cs="Times New Roman"/>
          <w:b/>
          <w:bCs/>
          <w:color w:val="auto"/>
          <w:sz w:val="22"/>
          <w:szCs w:val="22"/>
          <w:highlight w:val="none"/>
        </w:rPr>
      </w:pPr>
      <w:r>
        <w:rPr>
          <w:rFonts w:hint="eastAsia" w:ascii="宋体" w:cs="Times New Roman"/>
          <w:b/>
          <w:bCs/>
          <w:color w:val="auto"/>
          <w:sz w:val="22"/>
          <w:szCs w:val="22"/>
          <w:highlight w:val="none"/>
        </w:rPr>
        <w:t>注：竞选人须在投标文件资格审查部分提供经会计师事务所或审计机构出具的合法有效的财务审计报告及财务报表，财务报表须至少包括现金流量表、资产负债表、利润表。</w:t>
      </w:r>
    </w:p>
    <w:p w14:paraId="0A54AEDB">
      <w:pPr>
        <w:snapToGrid w:val="0"/>
        <w:spacing w:line="520" w:lineRule="exact"/>
        <w:rPr>
          <w:rFonts w:ascii="宋体"/>
          <w:color w:val="auto"/>
          <w:sz w:val="22"/>
          <w:szCs w:val="22"/>
          <w:highlight w:val="none"/>
        </w:rPr>
      </w:pPr>
      <w:r>
        <w:rPr>
          <w:rFonts w:ascii="宋体" w:cs="Times New Roman"/>
          <w:b/>
          <w:bCs/>
          <w:color w:val="auto"/>
          <w:sz w:val="22"/>
          <w:szCs w:val="22"/>
          <w:highlight w:val="none"/>
        </w:rPr>
        <w:t>5.3业绩要求</w:t>
      </w:r>
    </w:p>
    <w:p w14:paraId="77C315D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（1）业绩时间要求：202</w:t>
      </w:r>
      <w:r>
        <w:rPr>
          <w:rFonts w:hint="eastAsia" w:ascii="宋体"/>
          <w:color w:val="auto"/>
          <w:sz w:val="22"/>
          <w:szCs w:val="22"/>
          <w:highlight w:val="none"/>
          <w:lang w:val="en-US" w:eastAsia="zh-CN"/>
        </w:rPr>
        <w:t>2</w:t>
      </w:r>
      <w:r>
        <w:rPr>
          <w:rFonts w:ascii="宋体"/>
          <w:color w:val="auto"/>
          <w:sz w:val="22"/>
          <w:szCs w:val="22"/>
          <w:highlight w:val="none"/>
        </w:rPr>
        <w:t>年1月1日起至竞选截止日止（以合同签订时间为准）的1个</w:t>
      </w:r>
      <w:r>
        <w:rPr>
          <w:rFonts w:hint="eastAsia" w:ascii="宋体"/>
          <w:color w:val="auto"/>
          <w:sz w:val="22"/>
          <w:szCs w:val="22"/>
          <w:highlight w:val="none"/>
          <w:lang w:eastAsia="zh-CN"/>
        </w:rPr>
        <w:t>城市轨道交通工程</w:t>
      </w:r>
      <w:r>
        <w:rPr>
          <w:rFonts w:ascii="宋体"/>
          <w:color w:val="auto"/>
          <w:sz w:val="22"/>
          <w:szCs w:val="22"/>
          <w:highlight w:val="none"/>
        </w:rPr>
        <w:t>监测业绩。</w:t>
      </w:r>
    </w:p>
    <w:p w14:paraId="48FFFD4B">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（2）业绩规模要求：</w:t>
      </w:r>
    </w:p>
    <w:p w14:paraId="2B4D681F">
      <w:pPr>
        <w:snapToGrid w:val="0"/>
        <w:spacing w:line="520" w:lineRule="exact"/>
        <w:ind w:firstLine="440" w:firstLineChars="200"/>
        <w:rPr>
          <w:rFonts w:hint="eastAsia" w:ascii="宋体" w:eastAsia="宋体"/>
          <w:color w:val="auto"/>
          <w:sz w:val="22"/>
          <w:szCs w:val="22"/>
          <w:highlight w:val="none"/>
          <w:lang w:eastAsia="zh-CN"/>
        </w:rPr>
      </w:pPr>
      <w:r>
        <w:rPr>
          <w:rFonts w:ascii="宋体"/>
          <w:color w:val="auto"/>
          <w:sz w:val="22"/>
          <w:szCs w:val="22"/>
          <w:highlight w:val="none"/>
        </w:rPr>
        <w:t>工程类别：</w:t>
      </w:r>
      <w:r>
        <w:rPr>
          <w:rFonts w:hint="eastAsia" w:ascii="宋体"/>
          <w:color w:val="auto"/>
          <w:sz w:val="22"/>
          <w:szCs w:val="22"/>
          <w:highlight w:val="none"/>
          <w:lang w:eastAsia="zh-CN"/>
        </w:rPr>
        <w:t>城市轨道交通工程</w:t>
      </w:r>
    </w:p>
    <w:p w14:paraId="50FF6828">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监测合同金额：</w:t>
      </w:r>
      <w:r>
        <w:rPr>
          <w:rFonts w:hint="eastAsia" w:ascii="宋体"/>
          <w:color w:val="auto"/>
          <w:sz w:val="22"/>
          <w:szCs w:val="22"/>
          <w:highlight w:val="none"/>
          <w:lang w:val="en-US" w:eastAsia="zh-CN"/>
        </w:rPr>
        <w:t>20</w:t>
      </w:r>
      <w:r>
        <w:rPr>
          <w:rFonts w:ascii="宋体"/>
          <w:color w:val="auto"/>
          <w:sz w:val="22"/>
          <w:szCs w:val="22"/>
          <w:highlight w:val="none"/>
        </w:rPr>
        <w:t>万元及以上</w:t>
      </w:r>
    </w:p>
    <w:p w14:paraId="0BEAAB0C">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注：竞选人须在竞选文件资格审查部分提供该业绩的合同复印件。若提供的上述业绩证明材料不能体现合同签订时间、工程类别、监测合同金额，应提供业主证明。不满足上述业绩要求的业绩无效。</w:t>
      </w:r>
    </w:p>
    <w:p w14:paraId="07AADFB9">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竞选人应对其提供的业绩证明材料的真实性负责。当上述业绩证明材料体现的合同签时间、工程类别、监测合同金额等信息不一致时，按不利于竞选人的原则进行解释。</w:t>
      </w:r>
    </w:p>
    <w:p w14:paraId="2C82A474">
      <w:pPr>
        <w:snapToGrid w:val="0"/>
        <w:spacing w:line="520" w:lineRule="exact"/>
        <w:rPr>
          <w:rFonts w:ascii="宋体" w:cs="Times New Roman"/>
          <w:b/>
          <w:bCs/>
          <w:color w:val="auto"/>
          <w:sz w:val="22"/>
          <w:szCs w:val="22"/>
          <w:highlight w:val="none"/>
        </w:rPr>
      </w:pPr>
      <w:r>
        <w:rPr>
          <w:rFonts w:ascii="宋体" w:cs="Times New Roman"/>
          <w:b/>
          <w:bCs/>
          <w:color w:val="auto"/>
          <w:sz w:val="22"/>
          <w:szCs w:val="22"/>
          <w:highlight w:val="none"/>
        </w:rPr>
        <w:t xml:space="preserve">5.4竞选截止日竞选资格情况  </w:t>
      </w:r>
    </w:p>
    <w:p w14:paraId="409BCC9D">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竞选人自行承诺不得存在下列情形之一：</w:t>
      </w:r>
    </w:p>
    <w:p w14:paraId="100854FF">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（1）被人民法院列入失信被执行人名单且在被执行期内；</w:t>
      </w:r>
    </w:p>
    <w:p w14:paraId="6249FB5A">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（2）被列入《重庆市工程建设领域招标投标信用管理暂行办法》规定的重点关注名单且记分达到12分且在记分有效期内；</w:t>
      </w:r>
    </w:p>
    <w:p w14:paraId="27DCE5E4">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（3）被列入《重庆市工程建设领域招标投标信用管理暂行办法》规定的重庆市工程建设领域比选投标失信惩戒对象名单（以下称黑名单）且在记分有效期内；</w:t>
      </w:r>
    </w:p>
    <w:p w14:paraId="76DBABBD">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（4）被国家、重庆市（含市或任意区县）有关行政部门处以暂停投标资格行政处罚，且在处罚期限内；</w:t>
      </w:r>
    </w:p>
    <w:p w14:paraId="1B7072B6">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（5）被重庆市市级有关行业主管部门暂停在渝承揽新业务且在暂停期内。</w:t>
      </w:r>
    </w:p>
    <w:p w14:paraId="70159D89">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注：竞选人须在竞选文件资格审查部分提供承诺</w:t>
      </w:r>
      <w:r>
        <w:rPr>
          <w:rFonts w:hint="eastAsia" w:ascii="宋体" w:cs="Times New Roman"/>
          <w:b/>
          <w:bCs/>
          <w:color w:val="auto"/>
          <w:sz w:val="22"/>
          <w:szCs w:val="22"/>
          <w:highlight w:val="none"/>
        </w:rPr>
        <w:t>，格式自拟</w:t>
      </w:r>
      <w:r>
        <w:rPr>
          <w:rFonts w:ascii="宋体" w:cs="Times New Roman"/>
          <w:b/>
          <w:bCs/>
          <w:color w:val="auto"/>
          <w:sz w:val="22"/>
          <w:szCs w:val="22"/>
          <w:highlight w:val="none"/>
        </w:rPr>
        <w:t>。</w:t>
      </w:r>
    </w:p>
    <w:p w14:paraId="26283699">
      <w:pPr>
        <w:snapToGrid w:val="0"/>
        <w:spacing w:line="520" w:lineRule="exact"/>
        <w:rPr>
          <w:rFonts w:ascii="宋体" w:cs="Times New Roman"/>
          <w:b/>
          <w:bCs/>
          <w:color w:val="auto"/>
          <w:sz w:val="22"/>
          <w:szCs w:val="22"/>
          <w:highlight w:val="none"/>
        </w:rPr>
      </w:pPr>
      <w:r>
        <w:rPr>
          <w:rFonts w:ascii="宋体" w:cs="Times New Roman"/>
          <w:b/>
          <w:bCs/>
          <w:color w:val="auto"/>
          <w:sz w:val="22"/>
          <w:szCs w:val="22"/>
          <w:highlight w:val="none"/>
        </w:rPr>
        <w:t>5.5项目负责人要求</w:t>
      </w:r>
    </w:p>
    <w:p w14:paraId="2C5A5E28">
      <w:pPr>
        <w:snapToGrid w:val="0"/>
        <w:spacing w:line="520" w:lineRule="exact"/>
        <w:ind w:firstLine="330" w:firstLineChars="150"/>
        <w:rPr>
          <w:rFonts w:ascii="宋体"/>
          <w:color w:val="auto"/>
          <w:sz w:val="22"/>
          <w:szCs w:val="22"/>
          <w:highlight w:val="none"/>
        </w:rPr>
      </w:pPr>
      <w:r>
        <w:rPr>
          <w:rFonts w:hint="eastAsia" w:ascii="宋体"/>
          <w:color w:val="auto"/>
          <w:sz w:val="22"/>
          <w:szCs w:val="22"/>
          <w:highlight w:val="none"/>
        </w:rPr>
        <w:t>（1）</w:t>
      </w:r>
      <w:r>
        <w:rPr>
          <w:rFonts w:ascii="宋体"/>
          <w:color w:val="auto"/>
          <w:sz w:val="22"/>
          <w:szCs w:val="22"/>
          <w:highlight w:val="none"/>
        </w:rPr>
        <w:t xml:space="preserve"> 竞选人拟派的项目负责人具有</w:t>
      </w:r>
      <w:r>
        <w:rPr>
          <w:rFonts w:ascii="宋体"/>
          <w:color w:val="auto"/>
          <w:sz w:val="22"/>
          <w:szCs w:val="22"/>
          <w:highlight w:val="none"/>
          <w:u w:val="single" w:color="000000"/>
        </w:rPr>
        <w:t>注册土木工程师（岩土）专业</w:t>
      </w:r>
      <w:r>
        <w:rPr>
          <w:rFonts w:ascii="宋体"/>
          <w:color w:val="auto"/>
          <w:sz w:val="22"/>
          <w:szCs w:val="22"/>
          <w:highlight w:val="none"/>
        </w:rPr>
        <w:t>执业资格</w:t>
      </w:r>
      <w:r>
        <w:rPr>
          <w:rFonts w:hint="eastAsia" w:ascii="宋体"/>
          <w:color w:val="auto"/>
          <w:sz w:val="22"/>
          <w:szCs w:val="22"/>
          <w:highlight w:val="none"/>
          <w:lang w:eastAsia="zh-CN"/>
        </w:rPr>
        <w:t>或</w:t>
      </w:r>
      <w:r>
        <w:rPr>
          <w:rFonts w:hint="eastAsia" w:ascii="宋体"/>
          <w:color w:val="auto"/>
          <w:sz w:val="22"/>
          <w:szCs w:val="22"/>
          <w:highlight w:val="none"/>
          <w:u w:val="single"/>
          <w:lang w:eastAsia="zh-CN"/>
        </w:rPr>
        <w:t>注册测绘师</w:t>
      </w:r>
      <w:r>
        <w:rPr>
          <w:rFonts w:hint="eastAsia" w:ascii="宋体"/>
          <w:color w:val="auto"/>
          <w:sz w:val="22"/>
          <w:szCs w:val="22"/>
          <w:highlight w:val="none"/>
          <w:u w:val="none"/>
          <w:lang w:eastAsia="zh-CN"/>
        </w:rPr>
        <w:t>执业资格</w:t>
      </w:r>
      <w:r>
        <w:rPr>
          <w:rFonts w:ascii="宋体"/>
          <w:color w:val="auto"/>
          <w:sz w:val="22"/>
          <w:szCs w:val="22"/>
          <w:highlight w:val="none"/>
        </w:rPr>
        <w:t>，具有</w:t>
      </w:r>
      <w:r>
        <w:rPr>
          <w:rFonts w:hint="eastAsia" w:ascii="宋体"/>
          <w:color w:val="auto"/>
          <w:sz w:val="22"/>
          <w:szCs w:val="22"/>
          <w:highlight w:val="none"/>
          <w:u w:val="single" w:color="000000"/>
        </w:rPr>
        <w:t>工程类高级及以上</w:t>
      </w:r>
      <w:r>
        <w:rPr>
          <w:rFonts w:ascii="宋体"/>
          <w:color w:val="auto"/>
          <w:sz w:val="22"/>
          <w:szCs w:val="22"/>
          <w:highlight w:val="none"/>
        </w:rPr>
        <w:t>技术职称，且为竞选人本单位在职员工。</w:t>
      </w:r>
    </w:p>
    <w:p w14:paraId="16D8D62C">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注：竞选人须在竞选文件资格审查部分提供有效的拟派项目负责人的职称证、身份证、注册证、竞选人为其缴纳的养老保险证明材料。</w:t>
      </w:r>
    </w:p>
    <w:p w14:paraId="63A5EAED">
      <w:pPr>
        <w:snapToGrid w:val="0"/>
        <w:spacing w:line="520" w:lineRule="exact"/>
        <w:rPr>
          <w:rFonts w:ascii="宋体" w:cs="Times New Roman"/>
          <w:b/>
          <w:bCs/>
          <w:color w:val="auto"/>
          <w:sz w:val="22"/>
          <w:szCs w:val="22"/>
          <w:highlight w:val="none"/>
        </w:rPr>
      </w:pPr>
      <w:r>
        <w:rPr>
          <w:rFonts w:ascii="宋体" w:cs="Times New Roman"/>
          <w:b/>
          <w:bCs/>
          <w:color w:val="auto"/>
          <w:sz w:val="22"/>
          <w:szCs w:val="22"/>
          <w:highlight w:val="none"/>
        </w:rPr>
        <w:t>5.6其他要求</w:t>
      </w:r>
    </w:p>
    <w:p w14:paraId="37514EE4">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（1）项目技术负责人：</w:t>
      </w:r>
    </w:p>
    <w:p w14:paraId="2B77A981">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竞选人拟派的项目技术负责人具有</w:t>
      </w:r>
      <w:r>
        <w:rPr>
          <w:rFonts w:ascii="宋体"/>
          <w:color w:val="auto"/>
          <w:sz w:val="22"/>
          <w:szCs w:val="22"/>
          <w:highlight w:val="none"/>
          <w:u w:val="single" w:color="000000"/>
        </w:rPr>
        <w:t>工程类高级及以上</w:t>
      </w:r>
      <w:r>
        <w:rPr>
          <w:rFonts w:ascii="宋体"/>
          <w:color w:val="auto"/>
          <w:sz w:val="22"/>
          <w:szCs w:val="22"/>
          <w:highlight w:val="none"/>
        </w:rPr>
        <w:t>技术职称，且为竞选人本单位在职员工。</w:t>
      </w:r>
    </w:p>
    <w:p w14:paraId="72E47A3F">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注：竞选人须在竞选文件资格审查部分提供拟派技术负责人身份证、职称证及竞选人本单位为其缴纳的养老保险证明材料。</w:t>
      </w:r>
    </w:p>
    <w:p w14:paraId="543C2193">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lang w:val="en-US" w:eastAsia="zh-CN"/>
        </w:rPr>
        <w:t>2</w:t>
      </w:r>
      <w:r>
        <w:rPr>
          <w:rFonts w:ascii="宋体"/>
          <w:color w:val="auto"/>
          <w:sz w:val="22"/>
          <w:szCs w:val="22"/>
          <w:highlight w:val="none"/>
        </w:rPr>
        <w:t>）主要管理人员：</w:t>
      </w:r>
    </w:p>
    <w:p w14:paraId="4A372696">
      <w:pPr>
        <w:snapToGrid w:val="0"/>
        <w:spacing w:line="520" w:lineRule="exact"/>
        <w:ind w:firstLine="330" w:firstLineChars="150"/>
        <w:rPr>
          <w:rFonts w:ascii="宋体"/>
          <w:color w:val="auto"/>
          <w:sz w:val="22"/>
          <w:szCs w:val="22"/>
          <w:highlight w:val="none"/>
        </w:rPr>
      </w:pPr>
      <w:r>
        <w:rPr>
          <w:rFonts w:hint="eastAsia" w:ascii="宋体"/>
          <w:color w:val="auto"/>
          <w:sz w:val="22"/>
          <w:szCs w:val="22"/>
          <w:highlight w:val="none"/>
        </w:rPr>
        <w:t>投入本项目的技术人员至少5名，应具有工程类初级及以上技术职称，且为竞选人本单位在职员工。</w:t>
      </w:r>
    </w:p>
    <w:p w14:paraId="6F7803E2">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w:t>
      </w:r>
      <w:r>
        <w:rPr>
          <w:rFonts w:hint="eastAsia" w:ascii="宋体" w:cs="Times New Roman"/>
          <w:b/>
          <w:bCs/>
          <w:color w:val="auto"/>
          <w:sz w:val="22"/>
          <w:szCs w:val="22"/>
          <w:highlight w:val="none"/>
        </w:rPr>
        <w:t>提供拟派人员身份证、职称证</w:t>
      </w:r>
      <w:r>
        <w:rPr>
          <w:rFonts w:ascii="宋体" w:cs="Times New Roman"/>
          <w:b/>
          <w:bCs/>
          <w:color w:val="auto"/>
          <w:sz w:val="22"/>
          <w:szCs w:val="22"/>
          <w:highlight w:val="none"/>
        </w:rPr>
        <w:t>及竞选人本单位为其缴纳的养老保险证明材料。</w:t>
      </w:r>
    </w:p>
    <w:p w14:paraId="6CBD45B0">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lang w:val="en-US" w:eastAsia="zh-CN"/>
        </w:rPr>
        <w:t>3</w:t>
      </w:r>
      <w:r>
        <w:rPr>
          <w:rFonts w:ascii="宋体"/>
          <w:color w:val="auto"/>
          <w:sz w:val="22"/>
          <w:szCs w:val="22"/>
          <w:highlight w:val="none"/>
        </w:rPr>
        <w:t>）委托代理人：</w:t>
      </w:r>
    </w:p>
    <w:p w14:paraId="136F077D">
      <w:pPr>
        <w:snapToGrid w:val="0"/>
        <w:spacing w:line="520" w:lineRule="exact"/>
        <w:ind w:firstLine="330" w:firstLineChars="150"/>
        <w:rPr>
          <w:rFonts w:ascii="宋体"/>
          <w:color w:val="auto"/>
          <w:sz w:val="22"/>
          <w:szCs w:val="22"/>
          <w:highlight w:val="none"/>
        </w:rPr>
      </w:pPr>
      <w:r>
        <w:rPr>
          <w:rFonts w:ascii="宋体"/>
          <w:color w:val="auto"/>
          <w:sz w:val="22"/>
          <w:szCs w:val="22"/>
          <w:highlight w:val="none"/>
        </w:rPr>
        <w:t>委托代理人必须为竞选人本单位人员。</w:t>
      </w:r>
    </w:p>
    <w:p w14:paraId="6415F493">
      <w:pPr>
        <w:snapToGrid w:val="0"/>
        <w:spacing w:line="520" w:lineRule="exact"/>
        <w:ind w:firstLine="331" w:firstLineChars="150"/>
        <w:rPr>
          <w:rFonts w:ascii="宋体" w:cs="Times New Roman"/>
          <w:b/>
          <w:bCs/>
          <w:color w:val="auto"/>
          <w:sz w:val="22"/>
          <w:szCs w:val="22"/>
          <w:highlight w:val="none"/>
        </w:rPr>
      </w:pPr>
      <w:r>
        <w:rPr>
          <w:rFonts w:ascii="宋体" w:cs="Times New Roman"/>
          <w:b/>
          <w:bCs/>
          <w:color w:val="auto"/>
          <w:sz w:val="22"/>
          <w:szCs w:val="22"/>
          <w:highlight w:val="none"/>
        </w:rPr>
        <w:t>注：竞选人须在竞选文件资格审查部分提供</w:t>
      </w:r>
      <w:r>
        <w:rPr>
          <w:rFonts w:hint="eastAsia" w:ascii="宋体" w:cs="Times New Roman"/>
          <w:b/>
          <w:bCs/>
          <w:color w:val="auto"/>
          <w:sz w:val="22"/>
          <w:szCs w:val="22"/>
          <w:highlight w:val="none"/>
        </w:rPr>
        <w:t>授权委托书</w:t>
      </w:r>
      <w:r>
        <w:rPr>
          <w:rFonts w:ascii="宋体" w:cs="Times New Roman"/>
          <w:b/>
          <w:bCs/>
          <w:color w:val="auto"/>
          <w:sz w:val="22"/>
          <w:szCs w:val="22"/>
          <w:highlight w:val="none"/>
        </w:rPr>
        <w:t>及竞选人本单位为其缴纳的养老保险证明材料。否则，将由评选委员会作无效处理。</w:t>
      </w:r>
    </w:p>
    <w:p w14:paraId="320ACCBC">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特别提醒：</w:t>
      </w:r>
    </w:p>
    <w:p w14:paraId="68BBC920">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（1）上述所须提供的相关证明材料均为复印件（或扫描件），须加盖竞选人单位公章，由竞选人编入竞选文件资格审查部分中。上述资格要求若有一项不满足则竞选文件由评选委员会作无效处理。</w:t>
      </w:r>
    </w:p>
    <w:p w14:paraId="74ACF99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比选人将进一步核查竞选人在竞选文件中的提供的资料，若在评审期间有竞选人投诉并经查实或评选委员会发现竞选人提供了虚假资料或虚假承诺，将对竞选人的竞选文件作无效处理，并没收其竞选保证金；若在评审结果公示期间或合同谈判过程中有竞选人投诉或经比选人核查，并查实中选人提供了虚假资料或虚假承诺，将取消其中选资格并没收其竞选保证金；若在合同实施期间发现竞选人提供了虚假资料或虚假承诺，比选人将有权终止合同并没收其履约保证金。</w:t>
      </w:r>
    </w:p>
    <w:p w14:paraId="381A9B6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（3）本竞争性比选文件中所要求的人员养老保险证明要求如下：</w:t>
      </w:r>
    </w:p>
    <w:p w14:paraId="30F79E98">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①企业提供养老保险证明，事业单位提供养老保险证明或行政主管部门在编证明。</w:t>
      </w:r>
    </w:p>
    <w:p w14:paraId="0FBB289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②项目负责人、项目技术负责人、主要管理人员</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委托代理人</w:t>
      </w:r>
      <w:r>
        <w:rPr>
          <w:rFonts w:ascii="宋体"/>
          <w:color w:val="auto"/>
          <w:sz w:val="22"/>
          <w:szCs w:val="22"/>
          <w:highlight w:val="none"/>
        </w:rPr>
        <w:t>的养老保险证明期限</w:t>
      </w:r>
      <w:r>
        <w:rPr>
          <w:rFonts w:hint="eastAsia" w:ascii="宋体"/>
          <w:color w:val="auto"/>
          <w:sz w:val="22"/>
          <w:szCs w:val="22"/>
          <w:highlight w:val="none"/>
        </w:rPr>
        <w:t>至少包含</w:t>
      </w:r>
      <w:r>
        <w:rPr>
          <w:rFonts w:ascii="宋体"/>
          <w:color w:val="auto"/>
          <w:sz w:val="22"/>
          <w:szCs w:val="22"/>
          <w:highlight w:val="none"/>
        </w:rPr>
        <w:t>202</w:t>
      </w:r>
      <w:r>
        <w:rPr>
          <w:rFonts w:hint="eastAsia" w:ascii="宋体"/>
          <w:color w:val="auto"/>
          <w:sz w:val="22"/>
          <w:szCs w:val="22"/>
          <w:highlight w:val="none"/>
          <w:lang w:val="en-US" w:eastAsia="zh-CN"/>
        </w:rPr>
        <w:t>5</w:t>
      </w:r>
      <w:r>
        <w:rPr>
          <w:rFonts w:ascii="宋体"/>
          <w:color w:val="auto"/>
          <w:sz w:val="22"/>
          <w:szCs w:val="22"/>
          <w:highlight w:val="none"/>
        </w:rPr>
        <w:t>年</w:t>
      </w:r>
      <w:r>
        <w:rPr>
          <w:rFonts w:hint="eastAsia" w:ascii="宋体"/>
          <w:color w:val="auto"/>
          <w:sz w:val="22"/>
          <w:szCs w:val="22"/>
          <w:highlight w:val="none"/>
          <w:lang w:val="en-US" w:eastAsia="zh-CN"/>
        </w:rPr>
        <w:t>10</w:t>
      </w:r>
      <w:r>
        <w:rPr>
          <w:rFonts w:ascii="宋体"/>
          <w:color w:val="auto"/>
          <w:sz w:val="22"/>
          <w:szCs w:val="22"/>
          <w:highlight w:val="none"/>
        </w:rPr>
        <w:t>月的养老保险。提供的养老保险参保证明须体现上述人员的姓名、身份证号（或社保号）、单位名称、本单位参保时间（或起始参保时间），并带有社保部门公章或社保部门的有效电子印章。</w:t>
      </w:r>
    </w:p>
    <w:p w14:paraId="4DEAA1A5">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6、竞选文件的质疑、答疑和补遗</w:t>
      </w:r>
    </w:p>
    <w:p w14:paraId="0DABB27D">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6.1竞选人在收到竞争性比选文件后，应检查竞争性比选文件的所有内容，如有残缺或文字表述不清，有可能出现歧义或理解上的偏差的内容等应在202</w:t>
      </w:r>
      <w:r>
        <w:rPr>
          <w:rFonts w:hint="eastAsia" w:ascii="宋体"/>
          <w:color w:val="auto"/>
          <w:sz w:val="22"/>
          <w:szCs w:val="22"/>
          <w:highlight w:val="none"/>
          <w:lang w:val="en-US" w:eastAsia="zh-CN"/>
        </w:rPr>
        <w:t>5</w:t>
      </w:r>
      <w:r>
        <w:rPr>
          <w:rFonts w:ascii="宋体"/>
          <w:color w:val="auto"/>
          <w:sz w:val="22"/>
          <w:szCs w:val="22"/>
          <w:highlight w:val="none"/>
        </w:rPr>
        <w:t xml:space="preserve">年 </w:t>
      </w:r>
      <w:r>
        <w:rPr>
          <w:rFonts w:hint="eastAsia" w:ascii="宋体"/>
          <w:color w:val="auto"/>
          <w:sz w:val="22"/>
          <w:szCs w:val="22"/>
          <w:highlight w:val="none"/>
          <w:lang w:val="en-US" w:eastAsia="zh-CN"/>
        </w:rPr>
        <w:t xml:space="preserve">   </w:t>
      </w:r>
      <w:r>
        <w:rPr>
          <w:rFonts w:ascii="宋体"/>
          <w:color w:val="auto"/>
          <w:sz w:val="22"/>
          <w:szCs w:val="22"/>
          <w:highlight w:val="none"/>
        </w:rPr>
        <w:t xml:space="preserve">月 </w:t>
      </w:r>
      <w:r>
        <w:rPr>
          <w:rFonts w:hint="eastAsia" w:ascii="宋体"/>
          <w:color w:val="auto"/>
          <w:sz w:val="22"/>
          <w:szCs w:val="22"/>
          <w:highlight w:val="none"/>
          <w:lang w:val="en-US" w:eastAsia="zh-CN"/>
        </w:rPr>
        <w:t xml:space="preserve">   </w:t>
      </w:r>
      <w:r>
        <w:rPr>
          <w:rFonts w:ascii="宋体"/>
          <w:color w:val="auto"/>
          <w:sz w:val="22"/>
          <w:szCs w:val="22"/>
          <w:highlight w:val="none"/>
        </w:rPr>
        <w:t xml:space="preserve"> 日1</w:t>
      </w:r>
      <w:r>
        <w:rPr>
          <w:rFonts w:hint="eastAsia" w:ascii="宋体"/>
          <w:color w:val="auto"/>
          <w:sz w:val="22"/>
          <w:szCs w:val="22"/>
          <w:highlight w:val="none"/>
          <w:lang w:val="en-US" w:eastAsia="zh-CN"/>
        </w:rPr>
        <w:t>7</w:t>
      </w:r>
      <w:r>
        <w:rPr>
          <w:rFonts w:ascii="宋体"/>
          <w:color w:val="auto"/>
          <w:sz w:val="22"/>
          <w:szCs w:val="22"/>
          <w:highlight w:val="none"/>
        </w:rPr>
        <w:t>时00分（北京时间）前向比选人提出书面质疑，过期不再受理。</w:t>
      </w:r>
    </w:p>
    <w:p w14:paraId="3F896C00">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6.2比选人应于202</w:t>
      </w:r>
      <w:r>
        <w:rPr>
          <w:rFonts w:hint="eastAsia" w:ascii="宋体"/>
          <w:color w:val="auto"/>
          <w:sz w:val="22"/>
          <w:szCs w:val="22"/>
          <w:highlight w:val="none"/>
          <w:lang w:val="en-US" w:eastAsia="zh-CN"/>
        </w:rPr>
        <w:t>5</w:t>
      </w:r>
      <w:r>
        <w:rPr>
          <w:rFonts w:ascii="宋体"/>
          <w:color w:val="auto"/>
          <w:sz w:val="22"/>
          <w:szCs w:val="22"/>
          <w:highlight w:val="none"/>
        </w:rPr>
        <w:t xml:space="preserve">年 </w:t>
      </w:r>
      <w:r>
        <w:rPr>
          <w:rFonts w:hint="eastAsia" w:ascii="宋体"/>
          <w:color w:val="auto"/>
          <w:sz w:val="22"/>
          <w:szCs w:val="22"/>
          <w:highlight w:val="none"/>
          <w:lang w:val="en-US" w:eastAsia="zh-CN"/>
        </w:rPr>
        <w:t xml:space="preserve">    </w:t>
      </w:r>
      <w:r>
        <w:rPr>
          <w:rFonts w:ascii="宋体"/>
          <w:color w:val="auto"/>
          <w:sz w:val="22"/>
          <w:szCs w:val="22"/>
          <w:highlight w:val="none"/>
        </w:rPr>
        <w:t xml:space="preserve"> 月 </w:t>
      </w:r>
      <w:r>
        <w:rPr>
          <w:rFonts w:hint="eastAsia" w:ascii="宋体"/>
          <w:color w:val="auto"/>
          <w:sz w:val="22"/>
          <w:szCs w:val="22"/>
          <w:highlight w:val="none"/>
          <w:lang w:val="en-US" w:eastAsia="zh-CN"/>
        </w:rPr>
        <w:t xml:space="preserve">    </w:t>
      </w:r>
      <w:r>
        <w:rPr>
          <w:rFonts w:ascii="宋体"/>
          <w:color w:val="auto"/>
          <w:sz w:val="22"/>
          <w:szCs w:val="22"/>
          <w:highlight w:val="none"/>
        </w:rPr>
        <w:t xml:space="preserve"> 日17时00分（北京时间）前统一回复答疑和补遗。答疑补遗内容对竞选文件编制有重大影响的，比选会议时间将顺延。</w:t>
      </w:r>
    </w:p>
    <w:p w14:paraId="4942D981">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7、竞选文件组成</w:t>
      </w:r>
    </w:p>
    <w:p w14:paraId="2E76FC1D">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竞选文件应包括下列内容：</w:t>
      </w:r>
    </w:p>
    <w:p w14:paraId="1492337D">
      <w:pPr>
        <w:snapToGrid w:val="0"/>
        <w:spacing w:line="520" w:lineRule="exact"/>
        <w:ind w:firstLine="442" w:firstLineChars="200"/>
        <w:rPr>
          <w:rFonts w:ascii="宋体" w:cs="Times New Roman"/>
          <w:b/>
          <w:bCs/>
          <w:color w:val="auto"/>
          <w:sz w:val="22"/>
          <w:szCs w:val="22"/>
          <w:highlight w:val="none"/>
        </w:rPr>
      </w:pPr>
      <w:r>
        <w:rPr>
          <w:rFonts w:hint="eastAsia" w:ascii="宋体" w:cs="Times New Roman"/>
          <w:b/>
          <w:bCs/>
          <w:color w:val="auto"/>
          <w:sz w:val="22"/>
          <w:szCs w:val="22"/>
          <w:highlight w:val="none"/>
        </w:rPr>
        <w:t>7.1</w:t>
      </w:r>
      <w:r>
        <w:rPr>
          <w:rFonts w:ascii="宋体" w:cs="Times New Roman"/>
          <w:b/>
          <w:bCs/>
          <w:color w:val="auto"/>
          <w:sz w:val="22"/>
          <w:szCs w:val="22"/>
          <w:highlight w:val="none"/>
        </w:rPr>
        <w:t>竞选函部分</w:t>
      </w:r>
      <w:r>
        <w:rPr>
          <w:rFonts w:hint="eastAsia" w:ascii="宋体" w:cs="Times New Roman"/>
          <w:b/>
          <w:bCs/>
          <w:color w:val="auto"/>
          <w:sz w:val="22"/>
          <w:szCs w:val="22"/>
          <w:highlight w:val="none"/>
        </w:rPr>
        <w:t>（含资格审查部分）</w:t>
      </w:r>
    </w:p>
    <w:p w14:paraId="0C6038E1">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（一）竞选函</w:t>
      </w:r>
    </w:p>
    <w:p w14:paraId="5CC9627A">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（二）法定代表人身份证明或附有法定代表人身份证明的授权委托书</w:t>
      </w:r>
    </w:p>
    <w:p w14:paraId="061528D0">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（三）低价风险担保提交承诺书（如有）</w:t>
      </w:r>
    </w:p>
    <w:p w14:paraId="1B80C502">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（四）竞选人基本情况表</w:t>
      </w:r>
    </w:p>
    <w:p w14:paraId="64F4E2CD">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（五）项目管理机构</w:t>
      </w:r>
    </w:p>
    <w:p w14:paraId="7A0D7003">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（六）财务要求</w:t>
      </w:r>
    </w:p>
    <w:p w14:paraId="205A1730">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（七）类似项目情况表</w:t>
      </w:r>
    </w:p>
    <w:p w14:paraId="33F7A190">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（八）承诺</w:t>
      </w:r>
    </w:p>
    <w:p w14:paraId="2B66C646">
      <w:pPr>
        <w:snapToGrid w:val="0"/>
        <w:spacing w:line="520" w:lineRule="exact"/>
        <w:ind w:firstLine="440" w:firstLineChars="200"/>
        <w:rPr>
          <w:rFonts w:ascii="宋体"/>
          <w:color w:val="auto"/>
          <w:sz w:val="22"/>
          <w:szCs w:val="22"/>
          <w:highlight w:val="none"/>
        </w:rPr>
      </w:pPr>
      <w:r>
        <w:rPr>
          <w:rFonts w:hint="eastAsia" w:ascii="宋体"/>
          <w:color w:val="auto"/>
          <w:sz w:val="22"/>
          <w:szCs w:val="22"/>
          <w:highlight w:val="none"/>
        </w:rPr>
        <w:t>（九）其他资料</w:t>
      </w:r>
    </w:p>
    <w:p w14:paraId="547534B5">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8、竞选报价</w:t>
      </w:r>
    </w:p>
    <w:p w14:paraId="794BF6A3">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8.1</w:t>
      </w:r>
      <w:r>
        <w:rPr>
          <w:rFonts w:hint="eastAsia" w:ascii="宋体" w:cs="宋体"/>
          <w:color w:val="auto"/>
          <w:sz w:val="22"/>
          <w:szCs w:val="22"/>
          <w:highlight w:val="none"/>
        </w:rPr>
        <w:t>本项目涉轨监测费采用固定包干</w:t>
      </w:r>
      <w:r>
        <w:rPr>
          <w:rFonts w:hint="eastAsia" w:ascii="宋体" w:cs="宋体"/>
          <w:color w:val="auto"/>
          <w:sz w:val="22"/>
          <w:szCs w:val="22"/>
          <w:highlight w:val="none"/>
          <w:lang w:val="en-US" w:eastAsia="zh-CN"/>
        </w:rPr>
        <w:t>总价</w:t>
      </w:r>
      <w:r>
        <w:rPr>
          <w:rFonts w:hint="eastAsia" w:ascii="宋体" w:cs="宋体"/>
          <w:color w:val="auto"/>
          <w:sz w:val="22"/>
          <w:szCs w:val="22"/>
          <w:highlight w:val="none"/>
        </w:rPr>
        <w:t>报价</w:t>
      </w:r>
      <w:r>
        <w:rPr>
          <w:rFonts w:hint="eastAsia" w:ascii="宋体"/>
          <w:color w:val="auto"/>
          <w:sz w:val="22"/>
          <w:szCs w:val="22"/>
          <w:highlight w:val="none"/>
        </w:rPr>
        <w:t>，报价按依据《工程勘察设计收费管理规定》的通知计价格【2002】10号文件里面关于测量的收费条款，并根据监测方案、国家有关监测费用定额结合自身实力，合理报价。报价中应包含监测人员、设备、材料、管理费、外业监测、数据处理、提交资料，与设计单位、施工单位的配合、后续服务、风险、责任、利润、税金等完成监测内容所涉及的一切费用。</w:t>
      </w:r>
    </w:p>
    <w:p w14:paraId="7EE2879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 xml:space="preserve">8.2 </w:t>
      </w:r>
      <w:r>
        <w:rPr>
          <w:rFonts w:hint="eastAsia" w:ascii="宋体"/>
          <w:color w:val="auto"/>
          <w:sz w:val="22"/>
          <w:szCs w:val="22"/>
          <w:highlight w:val="none"/>
        </w:rPr>
        <w:t>本</w:t>
      </w:r>
      <w:r>
        <w:rPr>
          <w:rFonts w:hint="eastAsia" w:ascii="宋体"/>
          <w:color w:val="auto"/>
          <w:sz w:val="22"/>
          <w:szCs w:val="22"/>
          <w:highlight w:val="none"/>
          <w:lang w:eastAsia="zh-CN"/>
        </w:rPr>
        <w:t>项目</w:t>
      </w:r>
      <w:r>
        <w:rPr>
          <w:rFonts w:hint="eastAsia" w:ascii="宋体"/>
          <w:color w:val="auto"/>
          <w:sz w:val="22"/>
          <w:szCs w:val="22"/>
          <w:highlight w:val="none"/>
        </w:rPr>
        <w:t>投标报价应综合考虑</w:t>
      </w:r>
      <w:r>
        <w:rPr>
          <w:rFonts w:hint="eastAsia" w:ascii="宋体" w:eastAsia="宋体" w:cs="Times New Roman"/>
          <w:color w:val="auto"/>
          <w:kern w:val="0"/>
          <w:szCs w:val="21"/>
          <w:highlight w:val="none"/>
          <w:lang w:eastAsia="zh-CN"/>
        </w:rPr>
        <w:t>竞选人</w:t>
      </w:r>
      <w:r>
        <w:rPr>
          <w:rFonts w:hint="eastAsia" w:ascii="宋体"/>
          <w:color w:val="auto"/>
          <w:sz w:val="22"/>
          <w:szCs w:val="22"/>
          <w:highlight w:val="none"/>
        </w:rPr>
        <w:t>派驻现场所有人员的住宿费、水电费、交通费、通讯费、税金、利润、开办费、技术措施费、机械设备进出场费、管理费、外业监测、数据处理、提交资料，与设计单位、施工单位的配合、后续服务、风险费、政策性文件规定费用等一切因实施本工程监测服务产生的全部费用。本工程监测费用在合同实施期间不因工程的工期延长等因素而调整。</w:t>
      </w:r>
    </w:p>
    <w:p w14:paraId="59AEF41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8.3</w:t>
      </w:r>
      <w:r>
        <w:rPr>
          <w:rFonts w:hint="eastAsia" w:ascii="宋体" w:eastAsia="宋体" w:cs="Times New Roman"/>
          <w:color w:val="auto"/>
          <w:kern w:val="0"/>
          <w:szCs w:val="21"/>
          <w:highlight w:val="none"/>
          <w:lang w:eastAsia="zh-CN"/>
        </w:rPr>
        <w:t>竞选人</w:t>
      </w:r>
      <w:r>
        <w:rPr>
          <w:rFonts w:hint="eastAsia" w:ascii="宋体"/>
          <w:color w:val="auto"/>
          <w:sz w:val="22"/>
          <w:szCs w:val="22"/>
          <w:highlight w:val="none"/>
        </w:rPr>
        <w:t>的投标报价，应是完成合同条款上所列比选项目范围及监测服务期内的全部，不得以任何理由予以重复，作为</w:t>
      </w:r>
      <w:r>
        <w:rPr>
          <w:rFonts w:hint="eastAsia" w:ascii="宋体" w:eastAsia="宋体" w:cs="Times New Roman"/>
          <w:color w:val="auto"/>
          <w:kern w:val="0"/>
          <w:szCs w:val="21"/>
          <w:highlight w:val="none"/>
          <w:lang w:eastAsia="zh-CN"/>
        </w:rPr>
        <w:t>竞选人</w:t>
      </w:r>
      <w:r>
        <w:rPr>
          <w:rFonts w:hint="eastAsia" w:ascii="宋体"/>
          <w:color w:val="auto"/>
          <w:sz w:val="22"/>
          <w:szCs w:val="22"/>
          <w:highlight w:val="none"/>
        </w:rPr>
        <w:t>计算监测费总价的依据。</w:t>
      </w:r>
      <w:r>
        <w:rPr>
          <w:rFonts w:ascii="宋体"/>
          <w:color w:val="auto"/>
          <w:sz w:val="22"/>
          <w:szCs w:val="22"/>
          <w:highlight w:val="none"/>
        </w:rPr>
        <w:t xml:space="preserve"> </w:t>
      </w:r>
    </w:p>
    <w:p w14:paraId="6286C123">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8.4</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必须严格按照图纸和</w:t>
      </w:r>
      <w:r>
        <w:rPr>
          <w:rFonts w:hint="eastAsia" w:ascii="宋体" w:eastAsia="宋体" w:cs="Times New Roman"/>
          <w:color w:val="auto"/>
          <w:kern w:val="0"/>
          <w:szCs w:val="21"/>
          <w:highlight w:val="none"/>
          <w:lang w:eastAsia="zh-CN"/>
        </w:rPr>
        <w:t>比选人</w:t>
      </w:r>
      <w:r>
        <w:rPr>
          <w:rFonts w:hint="eastAsia" w:ascii="宋体" w:eastAsia="宋体" w:cs="Times New Roman"/>
          <w:color w:val="auto"/>
          <w:kern w:val="0"/>
          <w:szCs w:val="21"/>
          <w:highlight w:val="none"/>
        </w:rPr>
        <w:t>的要求提供服务，并符合现行的相关规范的要求。否则，一切后果由</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负责。凡服务中出现质量问题，</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必须无条件按</w:t>
      </w:r>
      <w:r>
        <w:rPr>
          <w:rFonts w:hint="eastAsia" w:ascii="宋体" w:eastAsia="宋体" w:cs="Times New Roman"/>
          <w:color w:val="auto"/>
          <w:kern w:val="0"/>
          <w:szCs w:val="21"/>
          <w:highlight w:val="none"/>
          <w:lang w:eastAsia="zh-CN"/>
        </w:rPr>
        <w:t>比选人</w:t>
      </w:r>
      <w:r>
        <w:rPr>
          <w:rFonts w:hint="eastAsia" w:ascii="宋体" w:eastAsia="宋体" w:cs="Times New Roman"/>
          <w:color w:val="auto"/>
          <w:kern w:val="0"/>
          <w:szCs w:val="21"/>
          <w:highlight w:val="none"/>
        </w:rPr>
        <w:t>提出的整改方案处理，整改所需费用由</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负责，否则，视</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违约，一切损失和后果由</w:t>
      </w:r>
      <w:r>
        <w:rPr>
          <w:rFonts w:hint="eastAsia" w:ascii="宋体" w:eastAsia="宋体" w:cs="Times New Roman"/>
          <w:color w:val="auto"/>
          <w:kern w:val="0"/>
          <w:szCs w:val="21"/>
          <w:highlight w:val="none"/>
          <w:lang w:eastAsia="zh-CN"/>
        </w:rPr>
        <w:t>竞选人</w:t>
      </w:r>
      <w:r>
        <w:rPr>
          <w:rFonts w:hint="eastAsia" w:ascii="宋体" w:eastAsia="宋体" w:cs="Times New Roman"/>
          <w:color w:val="auto"/>
          <w:kern w:val="0"/>
          <w:szCs w:val="21"/>
          <w:highlight w:val="none"/>
        </w:rPr>
        <w:t>负责。</w:t>
      </w:r>
    </w:p>
    <w:p w14:paraId="51D18E71">
      <w:pPr>
        <w:snapToGrid w:val="0"/>
        <w:spacing w:line="520" w:lineRule="exact"/>
        <w:ind w:firstLine="440" w:firstLineChars="200"/>
        <w:rPr>
          <w:rFonts w:ascii="宋体" w:eastAsia="宋体" w:cs="Arial"/>
          <w:color w:val="auto"/>
          <w:kern w:val="0"/>
          <w:sz w:val="22"/>
          <w:szCs w:val="22"/>
          <w:highlight w:val="none"/>
        </w:rPr>
      </w:pPr>
      <w:r>
        <w:rPr>
          <w:rFonts w:ascii="宋体" w:cs="Arial"/>
          <w:b w:val="0"/>
          <w:bCs w:val="0"/>
          <w:color w:val="auto"/>
          <w:sz w:val="22"/>
          <w:szCs w:val="22"/>
          <w:highlight w:val="none"/>
        </w:rPr>
        <w:t xml:space="preserve">8.5 </w:t>
      </w:r>
      <w:r>
        <w:rPr>
          <w:rFonts w:ascii="宋体" w:eastAsia="宋体" w:cs="Arial"/>
          <w:color w:val="auto"/>
          <w:kern w:val="0"/>
          <w:sz w:val="22"/>
          <w:szCs w:val="22"/>
          <w:highlight w:val="none"/>
          <w:lang w:eastAsia="zh-CN"/>
        </w:rPr>
        <w:t>竞选人</w:t>
      </w:r>
      <w:r>
        <w:rPr>
          <w:rFonts w:ascii="宋体" w:eastAsia="宋体" w:cs="Arial"/>
          <w:color w:val="auto"/>
          <w:kern w:val="0"/>
          <w:sz w:val="22"/>
          <w:szCs w:val="22"/>
          <w:highlight w:val="none"/>
        </w:rPr>
        <w:t>的监测方案必须满足相关规范和设计要求，如果需要监测项目的施工方案发生变更，</w:t>
      </w:r>
      <w:r>
        <w:rPr>
          <w:rFonts w:ascii="宋体" w:eastAsia="宋体" w:cs="Arial"/>
          <w:color w:val="auto"/>
          <w:kern w:val="0"/>
          <w:sz w:val="22"/>
          <w:szCs w:val="22"/>
          <w:highlight w:val="none"/>
          <w:lang w:eastAsia="zh-CN"/>
        </w:rPr>
        <w:t>竞选人</w:t>
      </w:r>
      <w:r>
        <w:rPr>
          <w:rFonts w:ascii="宋体" w:eastAsia="宋体" w:cs="Arial"/>
          <w:color w:val="auto"/>
          <w:kern w:val="0"/>
          <w:sz w:val="22"/>
          <w:szCs w:val="22"/>
          <w:highlight w:val="none"/>
        </w:rPr>
        <w:t>的监测方案和测试内容应作相应调整，但监测费用不变。</w:t>
      </w:r>
      <w:r>
        <w:rPr>
          <w:rFonts w:ascii="宋体" w:eastAsia="宋体" w:cs="Arial"/>
          <w:color w:val="auto"/>
          <w:kern w:val="0"/>
          <w:sz w:val="22"/>
          <w:szCs w:val="22"/>
          <w:highlight w:val="none"/>
          <w:lang w:eastAsia="zh-CN"/>
        </w:rPr>
        <w:t>比选人</w:t>
      </w:r>
      <w:r>
        <w:rPr>
          <w:rFonts w:ascii="宋体" w:eastAsia="宋体" w:cs="Arial"/>
          <w:color w:val="auto"/>
          <w:kern w:val="0"/>
          <w:sz w:val="22"/>
          <w:szCs w:val="22"/>
          <w:highlight w:val="none"/>
        </w:rPr>
        <w:t>、设计单位、施工单位最终审查通过的施工监测方案或测试内容有可能由于施工要求或专家评审等原因在施工过程中进行调整（如增加布点和监测频率等），</w:t>
      </w:r>
      <w:r>
        <w:rPr>
          <w:rFonts w:ascii="宋体" w:eastAsia="宋体" w:cs="Arial"/>
          <w:color w:val="auto"/>
          <w:kern w:val="0"/>
          <w:sz w:val="22"/>
          <w:szCs w:val="22"/>
          <w:highlight w:val="none"/>
          <w:lang w:eastAsia="zh-CN"/>
        </w:rPr>
        <w:t>竞选人</w:t>
      </w:r>
      <w:r>
        <w:rPr>
          <w:rFonts w:ascii="宋体" w:eastAsia="宋体" w:cs="Arial"/>
          <w:color w:val="auto"/>
          <w:kern w:val="0"/>
          <w:sz w:val="22"/>
          <w:szCs w:val="22"/>
          <w:highlight w:val="none"/>
        </w:rPr>
        <w:t>应无条件接受并考虑该风险，</w:t>
      </w:r>
      <w:r>
        <w:rPr>
          <w:rFonts w:ascii="宋体" w:eastAsia="宋体" w:cs="Arial"/>
          <w:color w:val="auto"/>
          <w:kern w:val="0"/>
          <w:sz w:val="22"/>
          <w:szCs w:val="22"/>
          <w:highlight w:val="none"/>
          <w:lang w:eastAsia="zh-CN"/>
        </w:rPr>
        <w:t>比选人</w:t>
      </w:r>
      <w:r>
        <w:rPr>
          <w:rFonts w:ascii="宋体" w:eastAsia="宋体" w:cs="Arial"/>
          <w:color w:val="auto"/>
          <w:kern w:val="0"/>
          <w:sz w:val="22"/>
          <w:szCs w:val="22"/>
          <w:highlight w:val="none"/>
        </w:rPr>
        <w:t>并不会因此增加监测费用。</w:t>
      </w:r>
    </w:p>
    <w:p w14:paraId="13B2F9E1">
      <w:pPr>
        <w:snapToGrid w:val="0"/>
        <w:spacing w:line="520" w:lineRule="exact"/>
        <w:ind w:firstLine="440" w:firstLineChars="200"/>
        <w:rPr>
          <w:rFonts w:ascii="宋体" w:cs="Arial"/>
          <w:b w:val="0"/>
          <w:bCs w:val="0"/>
          <w:color w:val="auto"/>
          <w:sz w:val="22"/>
          <w:szCs w:val="22"/>
          <w:highlight w:val="none"/>
        </w:rPr>
      </w:pPr>
      <w:r>
        <w:rPr>
          <w:rFonts w:ascii="宋体"/>
          <w:color w:val="auto"/>
          <w:sz w:val="22"/>
          <w:szCs w:val="22"/>
          <w:highlight w:val="none"/>
        </w:rPr>
        <w:t xml:space="preserve">8.6 </w:t>
      </w:r>
      <w:r>
        <w:rPr>
          <w:rFonts w:ascii="宋体" w:eastAsia="宋体" w:cs="Arial"/>
          <w:color w:val="auto"/>
          <w:kern w:val="0"/>
          <w:sz w:val="22"/>
          <w:szCs w:val="22"/>
          <w:highlight w:val="none"/>
          <w:lang w:eastAsia="zh-CN"/>
        </w:rPr>
        <w:t>竞选人</w:t>
      </w:r>
      <w:r>
        <w:rPr>
          <w:rFonts w:ascii="宋体" w:eastAsia="宋体" w:cs="Arial"/>
          <w:color w:val="auto"/>
          <w:kern w:val="0"/>
          <w:sz w:val="22"/>
          <w:szCs w:val="22"/>
          <w:highlight w:val="none"/>
        </w:rPr>
        <w:t>可先到工地踏勘以充分了解工地位置、情况、道路、储存空间、装卸限制及任何其他足以影响承包价的情况，任何因忽视或误解工地情况而导致的索赔申请将不被批准。</w:t>
      </w:r>
    </w:p>
    <w:p w14:paraId="5612D2A2">
      <w:pPr>
        <w:snapToGrid w:val="0"/>
        <w:spacing w:line="520" w:lineRule="exact"/>
        <w:ind w:firstLine="440" w:firstLineChars="200"/>
        <w:rPr>
          <w:rFonts w:ascii="宋体" w:cs="Arial"/>
          <w:b w:val="0"/>
          <w:bCs w:val="0"/>
          <w:color w:val="auto"/>
          <w:sz w:val="22"/>
          <w:szCs w:val="22"/>
          <w:highlight w:val="none"/>
        </w:rPr>
      </w:pPr>
      <w:r>
        <w:rPr>
          <w:rFonts w:ascii="宋体" w:cs="Arial"/>
          <w:b w:val="0"/>
          <w:bCs w:val="0"/>
          <w:color w:val="auto"/>
          <w:sz w:val="22"/>
          <w:szCs w:val="22"/>
          <w:highlight w:val="none"/>
        </w:rPr>
        <w:t>8.</w:t>
      </w:r>
      <w:r>
        <w:rPr>
          <w:rFonts w:ascii="宋体" w:cs="Arial"/>
          <w:b w:val="0"/>
          <w:bCs w:val="0"/>
          <w:color w:val="auto"/>
          <w:sz w:val="22"/>
          <w:szCs w:val="22"/>
          <w:highlight w:val="none"/>
          <w:lang w:val="en-US" w:eastAsia="zh-CN"/>
        </w:rPr>
        <w:t>7</w:t>
      </w:r>
      <w:r>
        <w:rPr>
          <w:rFonts w:ascii="宋体" w:cs="Arial"/>
          <w:b w:val="0"/>
          <w:bCs w:val="0"/>
          <w:color w:val="auto"/>
          <w:sz w:val="22"/>
          <w:szCs w:val="22"/>
          <w:highlight w:val="none"/>
        </w:rPr>
        <w:t xml:space="preserve"> </w:t>
      </w:r>
      <w:r>
        <w:rPr>
          <w:rFonts w:ascii="宋体" w:cs="Arial"/>
          <w:b/>
          <w:bCs/>
          <w:color w:val="auto"/>
          <w:sz w:val="22"/>
          <w:szCs w:val="22"/>
          <w:highlight w:val="none"/>
        </w:rPr>
        <w:t>本</w:t>
      </w:r>
      <w:r>
        <w:rPr>
          <w:rFonts w:ascii="宋体" w:cs="Arial"/>
          <w:b/>
          <w:bCs/>
          <w:color w:val="auto"/>
          <w:sz w:val="22"/>
          <w:szCs w:val="22"/>
          <w:highlight w:val="none"/>
          <w:lang w:val="en-US" w:eastAsia="zh-CN"/>
        </w:rPr>
        <w:t>工程涉轨</w:t>
      </w:r>
      <w:r>
        <w:rPr>
          <w:rFonts w:ascii="宋体" w:cs="Arial"/>
          <w:b/>
          <w:bCs/>
          <w:color w:val="auto"/>
          <w:sz w:val="22"/>
          <w:szCs w:val="22"/>
          <w:highlight w:val="none"/>
        </w:rPr>
        <w:t>监测费</w:t>
      </w:r>
      <w:r>
        <w:rPr>
          <w:rFonts w:ascii="宋体" w:cs="Arial"/>
          <w:b/>
          <w:bCs/>
          <w:color w:val="auto"/>
          <w:sz w:val="22"/>
          <w:szCs w:val="22"/>
          <w:highlight w:val="none"/>
          <w:lang w:val="en-US" w:eastAsia="zh-CN"/>
        </w:rPr>
        <w:t>比选总报价最高</w:t>
      </w:r>
      <w:r>
        <w:rPr>
          <w:rFonts w:ascii="宋体" w:cs="Arial"/>
          <w:b/>
          <w:bCs/>
          <w:color w:val="auto"/>
          <w:sz w:val="22"/>
          <w:szCs w:val="22"/>
          <w:highlight w:val="none"/>
        </w:rPr>
        <w:t>限价金额为</w:t>
      </w:r>
      <w:r>
        <w:rPr>
          <w:rFonts w:ascii="宋体" w:cs="Arial"/>
          <w:b/>
          <w:bCs/>
          <w:color w:val="auto"/>
          <w:sz w:val="22"/>
          <w:szCs w:val="22"/>
          <w:highlight w:val="none"/>
          <w:lang w:val="en-US" w:eastAsia="zh-CN"/>
        </w:rPr>
        <w:t>278118.00</w:t>
      </w:r>
      <w:r>
        <w:rPr>
          <w:rFonts w:ascii="宋体" w:cs="Arial"/>
          <w:b/>
          <w:bCs/>
          <w:color w:val="auto"/>
          <w:sz w:val="22"/>
          <w:szCs w:val="22"/>
          <w:highlight w:val="none"/>
        </w:rPr>
        <w:t>元（大写：</w:t>
      </w:r>
      <w:r>
        <w:rPr>
          <w:rFonts w:ascii="宋体" w:cs="Arial"/>
          <w:b/>
          <w:bCs/>
          <w:color w:val="auto"/>
          <w:sz w:val="22"/>
          <w:szCs w:val="22"/>
          <w:highlight w:val="none"/>
          <w:u w:val="none"/>
          <w:lang w:val="en-US" w:eastAsia="zh-CN"/>
        </w:rPr>
        <w:t>贰拾柒万捌仟壹佰壹拾捌元整</w:t>
      </w:r>
      <w:r>
        <w:rPr>
          <w:rFonts w:ascii="宋体" w:cs="Arial"/>
          <w:b/>
          <w:bCs/>
          <w:color w:val="auto"/>
          <w:sz w:val="22"/>
          <w:szCs w:val="22"/>
          <w:highlight w:val="none"/>
        </w:rPr>
        <w:t>）。</w:t>
      </w:r>
      <w:r>
        <w:rPr>
          <w:rFonts w:ascii="宋体" w:eastAsia="宋体" w:cs="Arial"/>
          <w:color w:val="auto"/>
          <w:sz w:val="22"/>
          <w:szCs w:val="22"/>
          <w:highlight w:val="none"/>
          <w:lang w:val="en-US" w:eastAsia="zh-CN"/>
        </w:rPr>
        <w:t>竞选</w:t>
      </w:r>
      <w:r>
        <w:rPr>
          <w:rFonts w:ascii="宋体" w:eastAsia="宋体" w:cs="Arial"/>
          <w:color w:val="auto"/>
          <w:sz w:val="22"/>
          <w:szCs w:val="22"/>
          <w:highlight w:val="none"/>
        </w:rPr>
        <w:t>人的</w:t>
      </w:r>
      <w:r>
        <w:rPr>
          <w:rFonts w:ascii="宋体" w:eastAsia="宋体" w:cs="Arial"/>
          <w:color w:val="auto"/>
          <w:sz w:val="22"/>
          <w:szCs w:val="22"/>
          <w:highlight w:val="none"/>
          <w:lang w:val="en-US" w:eastAsia="zh-CN"/>
        </w:rPr>
        <w:t>竞选</w:t>
      </w:r>
      <w:r>
        <w:rPr>
          <w:rFonts w:ascii="宋体" w:eastAsia="宋体" w:cs="Arial"/>
          <w:color w:val="auto"/>
          <w:sz w:val="22"/>
          <w:szCs w:val="22"/>
          <w:highlight w:val="none"/>
        </w:rPr>
        <w:t>报价不得超过最高限价，否则，其投标文件按否决投标处理。</w:t>
      </w:r>
    </w:p>
    <w:p w14:paraId="7C351441">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9、竞选有效期</w:t>
      </w:r>
    </w:p>
    <w:p w14:paraId="311D3DC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90日历天（从提交竞选文件截止日起计算）。</w:t>
      </w:r>
    </w:p>
    <w:p w14:paraId="27725EF0">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10、竞选保证金</w:t>
      </w:r>
    </w:p>
    <w:p w14:paraId="0C754D9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10.1竞选保证金交款形式及要求：</w:t>
      </w:r>
    </w:p>
    <w:p w14:paraId="5C9B784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（1）竞选保证金以现金形式随竞选文件一同递交。</w:t>
      </w:r>
    </w:p>
    <w:p w14:paraId="056098C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（2）竞选保证金的金额：</w:t>
      </w:r>
      <w:r>
        <w:rPr>
          <w:rFonts w:hint="eastAsia" w:ascii="宋体"/>
          <w:color w:val="auto"/>
          <w:sz w:val="22"/>
          <w:szCs w:val="22"/>
          <w:highlight w:val="none"/>
          <w:lang w:val="en-US" w:eastAsia="zh-CN"/>
        </w:rPr>
        <w:t>10000</w:t>
      </w:r>
      <w:r>
        <w:rPr>
          <w:rFonts w:ascii="宋体"/>
          <w:color w:val="auto"/>
          <w:sz w:val="22"/>
          <w:szCs w:val="22"/>
          <w:highlight w:val="none"/>
        </w:rPr>
        <w:t>.00元整。</w:t>
      </w:r>
    </w:p>
    <w:p w14:paraId="1318758A">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（3）竞选保证金装入各竞选人自备的信封中，信封上注明“</w:t>
      </w:r>
      <w:r>
        <w:rPr>
          <w:rFonts w:hint="eastAsia" w:ascii="宋体"/>
          <w:b/>
          <w:bCs/>
          <w:color w:val="auto"/>
          <w:sz w:val="22"/>
          <w:szCs w:val="22"/>
          <w:highlight w:val="none"/>
          <w:lang w:eastAsia="zh-CN"/>
        </w:rPr>
        <w:t>西永综保区进口整车展示及存储中心及周边配套工程—广达生活区A线道路东延段工程第三方涉轨监测项目</w:t>
      </w:r>
      <w:r>
        <w:rPr>
          <w:rFonts w:ascii="宋体" w:cs="Times New Roman"/>
          <w:b/>
          <w:bCs/>
          <w:color w:val="auto"/>
          <w:sz w:val="22"/>
          <w:szCs w:val="22"/>
          <w:highlight w:val="none"/>
        </w:rPr>
        <w:t>竞选保证金</w:t>
      </w:r>
      <w:r>
        <w:rPr>
          <w:rFonts w:ascii="宋体"/>
          <w:color w:val="auto"/>
          <w:sz w:val="22"/>
          <w:szCs w:val="22"/>
          <w:highlight w:val="none"/>
        </w:rPr>
        <w:t>”及竞选人单位名称，封口处加盖竞选人单位公章。未按上述要求提交竞选保证金的当场退还其竞选文件。</w:t>
      </w:r>
    </w:p>
    <w:p w14:paraId="59DA6649">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（4）竞选保证金有效期与竞选有效期一致。</w:t>
      </w:r>
    </w:p>
    <w:p w14:paraId="1504540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10.2竞选保证金的退还</w:t>
      </w:r>
    </w:p>
    <w:p w14:paraId="6B4A4085">
      <w:pPr>
        <w:snapToGrid w:val="0"/>
        <w:spacing w:line="520" w:lineRule="exact"/>
        <w:ind w:firstLine="440" w:firstLineChars="200"/>
        <w:rPr>
          <w:rFonts w:ascii="宋体"/>
          <w:color w:val="auto"/>
          <w:highlight w:val="none"/>
        </w:rPr>
      </w:pPr>
      <w:r>
        <w:rPr>
          <w:rFonts w:ascii="宋体"/>
          <w:color w:val="auto"/>
          <w:sz w:val="22"/>
          <w:szCs w:val="22"/>
          <w:highlight w:val="none"/>
        </w:rPr>
        <w:t>评选结束后退还除中选候选人以外其余竞选人的竞选保证金，</w:t>
      </w:r>
      <w:r>
        <w:rPr>
          <w:rFonts w:hint="eastAsia" w:ascii="宋体"/>
          <w:color w:val="auto"/>
          <w:sz w:val="22"/>
          <w:szCs w:val="22"/>
          <w:highlight w:val="none"/>
        </w:rPr>
        <w:t>合同签订后</w:t>
      </w:r>
      <w:r>
        <w:rPr>
          <w:rFonts w:ascii="宋体"/>
          <w:color w:val="auto"/>
          <w:sz w:val="22"/>
          <w:szCs w:val="22"/>
          <w:highlight w:val="none"/>
        </w:rPr>
        <w:t>后退还中选</w:t>
      </w:r>
      <w:r>
        <w:rPr>
          <w:rFonts w:hint="eastAsia" w:ascii="宋体"/>
          <w:color w:val="auto"/>
          <w:sz w:val="22"/>
          <w:szCs w:val="22"/>
          <w:highlight w:val="none"/>
        </w:rPr>
        <w:t>候选</w:t>
      </w:r>
      <w:r>
        <w:rPr>
          <w:rFonts w:ascii="宋体"/>
          <w:color w:val="auto"/>
          <w:sz w:val="22"/>
          <w:szCs w:val="22"/>
          <w:highlight w:val="none"/>
        </w:rPr>
        <w:t>人的竞选保证金。</w:t>
      </w:r>
    </w:p>
    <w:p w14:paraId="52E4A587">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11、履约保证金及低价风险担保</w:t>
      </w:r>
    </w:p>
    <w:p w14:paraId="00B11F5B">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11.1履约保证金</w:t>
      </w:r>
    </w:p>
    <w:p w14:paraId="2D5C4087">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（1）履约保证金的形式：现金（对公银行转账）。</w:t>
      </w:r>
    </w:p>
    <w:p w14:paraId="7BA784D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（2）履约保证金的金额：中选总价的5%；</w:t>
      </w:r>
    </w:p>
    <w:p w14:paraId="096F18FC">
      <w:pPr>
        <w:snapToGrid w:val="0"/>
        <w:spacing w:line="520" w:lineRule="exact"/>
        <w:ind w:firstLine="880" w:firstLineChars="400"/>
        <w:rPr>
          <w:rFonts w:ascii="宋体"/>
          <w:color w:val="auto"/>
          <w:sz w:val="22"/>
          <w:szCs w:val="22"/>
          <w:highlight w:val="none"/>
        </w:rPr>
      </w:pPr>
      <w:r>
        <w:rPr>
          <w:rFonts w:ascii="宋体"/>
          <w:color w:val="auto"/>
          <w:sz w:val="22"/>
          <w:szCs w:val="22"/>
          <w:highlight w:val="none"/>
        </w:rPr>
        <w:t>账户名称：重庆科学城城市建设集团有限公司</w:t>
      </w:r>
    </w:p>
    <w:p w14:paraId="0B81B742">
      <w:pPr>
        <w:snapToGrid w:val="0"/>
        <w:spacing w:line="520" w:lineRule="exact"/>
        <w:ind w:firstLine="880" w:firstLineChars="400"/>
        <w:rPr>
          <w:rFonts w:ascii="宋体"/>
          <w:color w:val="auto"/>
          <w:sz w:val="22"/>
          <w:szCs w:val="22"/>
          <w:highlight w:val="none"/>
        </w:rPr>
      </w:pPr>
      <w:r>
        <w:rPr>
          <w:rFonts w:ascii="宋体"/>
          <w:color w:val="auto"/>
          <w:sz w:val="22"/>
          <w:szCs w:val="22"/>
          <w:highlight w:val="none"/>
        </w:rPr>
        <w:t>账号：50001033600050216755</w:t>
      </w:r>
    </w:p>
    <w:p w14:paraId="71ECCEBD">
      <w:pPr>
        <w:snapToGrid w:val="0"/>
        <w:spacing w:line="520" w:lineRule="exact"/>
        <w:ind w:firstLine="880" w:firstLineChars="400"/>
        <w:rPr>
          <w:rFonts w:ascii="宋体"/>
          <w:color w:val="auto"/>
          <w:sz w:val="22"/>
          <w:szCs w:val="22"/>
          <w:highlight w:val="none"/>
        </w:rPr>
      </w:pPr>
      <w:r>
        <w:rPr>
          <w:rFonts w:ascii="宋体"/>
          <w:color w:val="auto"/>
          <w:sz w:val="22"/>
          <w:szCs w:val="22"/>
          <w:highlight w:val="none"/>
        </w:rPr>
        <w:t>开户行：中国建设银行股份有限公司重庆沙坪坝康居西城支行</w:t>
      </w:r>
    </w:p>
    <w:p w14:paraId="1534355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（3）履约保证金提交时间：中选公示结束后3个工作日内，中选人向比选人提交履约保证金，对未缴清履约保证金的，不得与其签订合同。</w:t>
      </w:r>
    </w:p>
    <w:p w14:paraId="03E2074A">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（4）履约担保的期限：自提交履约担保之日起至提交所有合格的监测报告之日止。</w:t>
      </w:r>
    </w:p>
    <w:p w14:paraId="79E6C0A7">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（5）违约责任：如中选人未按以上规定时间缴纳履约保证金，比选人将视其为不诚信行为，并作为无故弃选处理，取消其承担方资格，没收竞选保证金。</w:t>
      </w:r>
    </w:p>
    <w:p w14:paraId="48181E81">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（6）履约担保的退还时间：提交所有合格的监测报告且竞选人提出书面退还申请后28日内一次性无息退还。</w:t>
      </w:r>
    </w:p>
    <w:p w14:paraId="1A1D3140">
      <w:pPr>
        <w:pStyle w:val="2"/>
        <w:snapToGrid w:val="0"/>
        <w:spacing w:line="560" w:lineRule="exact"/>
        <w:ind w:firstLine="440" w:firstLineChars="200"/>
        <w:rPr>
          <w:rFonts w:ascii="宋体"/>
          <w:color w:val="auto"/>
          <w:sz w:val="22"/>
          <w:szCs w:val="22"/>
          <w:highlight w:val="none"/>
        </w:rPr>
      </w:pPr>
      <w:r>
        <w:rPr>
          <w:rFonts w:hint="eastAsia" w:ascii="宋体"/>
          <w:color w:val="auto"/>
          <w:sz w:val="22"/>
          <w:szCs w:val="22"/>
          <w:highlight w:val="none"/>
        </w:rPr>
        <w:t>（7）</w:t>
      </w:r>
      <w:r>
        <w:rPr>
          <w:rFonts w:hint="eastAsia" w:ascii="宋体" w:cs="宋体"/>
          <w:color w:val="auto"/>
          <w:sz w:val="22"/>
          <w:szCs w:val="22"/>
          <w:highlight w:val="none"/>
        </w:rPr>
        <w:t>履约</w:t>
      </w:r>
      <w:bookmarkStart w:id="0" w:name="_Hlk179471776"/>
      <w:r>
        <w:rPr>
          <w:rFonts w:hint="eastAsia" w:ascii="宋体" w:cs="宋体"/>
          <w:color w:val="auto"/>
          <w:sz w:val="22"/>
          <w:szCs w:val="22"/>
          <w:highlight w:val="none"/>
        </w:rPr>
        <w:t>担保的范围：</w:t>
      </w:r>
      <w:r>
        <w:rPr>
          <w:rFonts w:hint="eastAsia" w:ascii="宋体" w:cs="宋体"/>
          <w:color w:val="auto"/>
          <w:spacing w:val="-1"/>
          <w:szCs w:val="21"/>
          <w:highlight w:val="none"/>
        </w:rPr>
        <w:t>承担方未按照</w:t>
      </w:r>
      <w:r>
        <w:rPr>
          <w:rFonts w:ascii="宋体" w:cs="宋体"/>
          <w:color w:val="auto"/>
          <w:spacing w:val="-1"/>
          <w:szCs w:val="21"/>
          <w:highlight w:val="none"/>
        </w:rPr>
        <w:t>中选</w:t>
      </w:r>
      <w:r>
        <w:rPr>
          <w:rFonts w:hint="eastAsia" w:ascii="宋体" w:cs="宋体"/>
          <w:color w:val="auto"/>
          <w:spacing w:val="-1"/>
          <w:szCs w:val="21"/>
          <w:highlight w:val="none"/>
        </w:rPr>
        <w:t>通知书、</w:t>
      </w:r>
      <w:r>
        <w:rPr>
          <w:rFonts w:ascii="宋体" w:cs="宋体"/>
          <w:color w:val="auto"/>
          <w:spacing w:val="-1"/>
          <w:szCs w:val="21"/>
          <w:highlight w:val="none"/>
        </w:rPr>
        <w:t>比选</w:t>
      </w:r>
      <w:r>
        <w:rPr>
          <w:rFonts w:hint="eastAsia" w:ascii="宋体" w:cs="宋体"/>
          <w:color w:val="auto"/>
          <w:spacing w:val="-1"/>
          <w:szCs w:val="21"/>
          <w:highlight w:val="none"/>
        </w:rPr>
        <w:t>文件和投标</w:t>
      </w:r>
      <w:r>
        <w:rPr>
          <w:rFonts w:ascii="宋体" w:cs="宋体"/>
          <w:color w:val="auto"/>
          <w:spacing w:val="-1"/>
          <w:szCs w:val="21"/>
          <w:highlight w:val="none"/>
        </w:rPr>
        <w:t>竞选</w:t>
      </w:r>
      <w:r>
        <w:rPr>
          <w:rFonts w:hint="eastAsia" w:ascii="宋体" w:cs="宋体"/>
          <w:color w:val="auto"/>
          <w:spacing w:val="-1"/>
          <w:szCs w:val="21"/>
          <w:highlight w:val="none"/>
        </w:rPr>
        <w:t>文件约定与委托人签订合同或未按签订合同的约定履行相关义务，应当向委托人承担的违约责任和赔偿因此造成的一切损失、利息等，以及委托人为实现前述债权而支出的律师费、仲裁费/诉讼费、差旅费、保全担保费、保全费、执行费、鉴定费等实现债权的全部费用</w:t>
      </w:r>
      <w:r>
        <w:rPr>
          <w:rFonts w:hint="eastAsia" w:ascii="宋体" w:cs="宋体"/>
          <w:color w:val="auto"/>
          <w:sz w:val="22"/>
          <w:szCs w:val="22"/>
          <w:highlight w:val="none"/>
        </w:rPr>
        <w:t>。</w:t>
      </w:r>
      <w:bookmarkEnd w:id="0"/>
    </w:p>
    <w:p w14:paraId="0F3C17CB">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11.2低价风险保证金</w:t>
      </w:r>
    </w:p>
    <w:p w14:paraId="6CF9736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（1）低价风险保证金：中选价低于最高限价的85%时提供，如不按时足额提供，视为中选人放弃中选，比选人将不退还其竞选保证金。</w:t>
      </w:r>
    </w:p>
    <w:p w14:paraId="60374391">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（2）中选人提供低价风险担保的形式、金额及期限：</w:t>
      </w:r>
    </w:p>
    <w:p w14:paraId="28D2211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①低价风险保证金的形式：现金（对公银行转账）。</w:t>
      </w:r>
    </w:p>
    <w:p w14:paraId="6B257957">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②低价风险保证金的金额：低价风险保证金金额为超过15%部分的3倍，低价风险保证金金额=（总价最高限价×85%-中选价）×3，且最高不超过总价最高限价的85%。</w:t>
      </w:r>
    </w:p>
    <w:p w14:paraId="38E9FFD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账户名称：重庆科学城城市建设集团有限公司</w:t>
      </w:r>
    </w:p>
    <w:p w14:paraId="4109A109">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账号：50001033600050216755</w:t>
      </w:r>
    </w:p>
    <w:p w14:paraId="7339768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开户行：中国建设银行股份有限公司重庆沙坪坝康居西城支行</w:t>
      </w:r>
    </w:p>
    <w:p w14:paraId="1B88356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（3）低价风险保证金的提交时间：中选公示结束后3个工作日内，中选人向比选人提交低价风险保证金，对未缴清低价风险保证金的，不得与其签订合同。</w:t>
      </w:r>
    </w:p>
    <w:p w14:paraId="5AEF3013">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（4）低价风险保证金的期限：自低价风险保证金生效之日起至提交所有合格的监测报告之日止。</w:t>
      </w:r>
    </w:p>
    <w:p w14:paraId="1CD4DE4E">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（5）如中选人未按以上规定时间缴纳低价风险保证金，比选人将视其为不诚信行为，并作为无故弃选处理，取消其承担方资格，没收竞选保证金。</w:t>
      </w:r>
    </w:p>
    <w:p w14:paraId="65520EE2">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（6）低价风险保证金的退还时间：提交所有合格的监测报告且竞选人提出书面退还申请后28日内一次性无息退还。</w:t>
      </w:r>
    </w:p>
    <w:p w14:paraId="5D59F845">
      <w:pPr>
        <w:pStyle w:val="2"/>
        <w:snapToGrid w:val="0"/>
        <w:spacing w:line="560" w:lineRule="exact"/>
        <w:ind w:firstLine="440" w:firstLineChars="200"/>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7</w:t>
      </w:r>
      <w:r>
        <w:rPr>
          <w:rFonts w:hint="eastAsia" w:ascii="宋体"/>
          <w:color w:val="auto"/>
          <w:sz w:val="22"/>
          <w:szCs w:val="22"/>
          <w:highlight w:val="none"/>
        </w:rPr>
        <w:t>）低价风险担保的范围：</w:t>
      </w:r>
      <w:r>
        <w:rPr>
          <w:rFonts w:hint="eastAsia" w:ascii="宋体" w:cs="宋体"/>
          <w:color w:val="auto"/>
          <w:spacing w:val="-1"/>
          <w:szCs w:val="21"/>
          <w:highlight w:val="none"/>
        </w:rPr>
        <w:t>承担方未按照</w:t>
      </w:r>
      <w:r>
        <w:rPr>
          <w:rFonts w:ascii="宋体" w:cs="宋体"/>
          <w:color w:val="auto"/>
          <w:spacing w:val="-1"/>
          <w:szCs w:val="21"/>
          <w:highlight w:val="none"/>
        </w:rPr>
        <w:t>中选</w:t>
      </w:r>
      <w:r>
        <w:rPr>
          <w:rFonts w:hint="eastAsia" w:ascii="宋体" w:cs="宋体"/>
          <w:color w:val="auto"/>
          <w:spacing w:val="-1"/>
          <w:szCs w:val="21"/>
          <w:highlight w:val="none"/>
        </w:rPr>
        <w:t>通知书、</w:t>
      </w:r>
      <w:r>
        <w:rPr>
          <w:rFonts w:ascii="宋体" w:cs="宋体"/>
          <w:color w:val="auto"/>
          <w:spacing w:val="-1"/>
          <w:szCs w:val="21"/>
          <w:highlight w:val="none"/>
        </w:rPr>
        <w:t>比选</w:t>
      </w:r>
      <w:r>
        <w:rPr>
          <w:rFonts w:hint="eastAsia" w:ascii="宋体" w:cs="宋体"/>
          <w:color w:val="auto"/>
          <w:spacing w:val="-1"/>
          <w:szCs w:val="21"/>
          <w:highlight w:val="none"/>
        </w:rPr>
        <w:t>文件和投标</w:t>
      </w:r>
      <w:r>
        <w:rPr>
          <w:rFonts w:ascii="宋体" w:cs="宋体"/>
          <w:color w:val="auto"/>
          <w:spacing w:val="-1"/>
          <w:szCs w:val="21"/>
          <w:highlight w:val="none"/>
        </w:rPr>
        <w:t>竞选</w:t>
      </w:r>
      <w:r>
        <w:rPr>
          <w:rFonts w:hint="eastAsia" w:ascii="宋体" w:cs="宋体"/>
          <w:color w:val="auto"/>
          <w:spacing w:val="-1"/>
          <w:szCs w:val="21"/>
          <w:highlight w:val="none"/>
        </w:rPr>
        <w:t>文件约定与委托人签订合同或未按签订合同的约定履行相关义务，应当向委托人承担的违约责任和赔偿因此造成的一切损失、利息等，以及委托人为实现前述债权而支出的律师费、仲裁费/诉讼费、差旅费、保全担保费、保全费、执行费、鉴定费等实现债权的全部费用</w:t>
      </w:r>
      <w:r>
        <w:rPr>
          <w:rFonts w:hint="eastAsia" w:ascii="宋体"/>
          <w:color w:val="auto"/>
          <w:sz w:val="22"/>
          <w:szCs w:val="22"/>
          <w:highlight w:val="none"/>
        </w:rPr>
        <w:t>。</w:t>
      </w:r>
    </w:p>
    <w:p w14:paraId="2B09331B">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12、竞选文件的编制、份数、装订及密封</w:t>
      </w:r>
    </w:p>
    <w:p w14:paraId="3E712F34">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12.1签字盖章要求：</w:t>
      </w:r>
    </w:p>
    <w:p w14:paraId="4F5BB0FD">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文件应用不褪色的材料书写或打印，竞选文件须由竞选人的法定代表人或其委托代理人签字、盖竞选人单位公章。委托代理人签字的，竞选文件应附法定代表人签署的授权委托书。竞选文件应尽量避免涂改、行间插字或删除。如果出现上述情况，改动之处应加盖竞选人单位公章。</w:t>
      </w:r>
    </w:p>
    <w:p w14:paraId="574D1173">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12.2竞选文件的份数：</w:t>
      </w:r>
    </w:p>
    <w:p w14:paraId="0FFBC848">
      <w:pPr>
        <w:snapToGrid w:val="0"/>
        <w:spacing w:line="520" w:lineRule="exact"/>
        <w:ind w:firstLine="440" w:firstLineChars="200"/>
        <w:rPr>
          <w:rFonts w:ascii="宋体" w:cs="Times New Roman"/>
          <w:bCs/>
          <w:color w:val="auto"/>
          <w:sz w:val="22"/>
          <w:szCs w:val="22"/>
          <w:highlight w:val="none"/>
        </w:rPr>
      </w:pPr>
      <w:r>
        <w:rPr>
          <w:rFonts w:ascii="宋体" w:cs="Times New Roman"/>
          <w:bCs/>
          <w:color w:val="auto"/>
          <w:sz w:val="22"/>
          <w:szCs w:val="22"/>
          <w:highlight w:val="none"/>
        </w:rPr>
        <w:t>（1）竞选函部分</w:t>
      </w:r>
      <w:r>
        <w:rPr>
          <w:rFonts w:hint="eastAsia" w:ascii="宋体" w:cs="Times New Roman"/>
          <w:bCs/>
          <w:color w:val="auto"/>
          <w:sz w:val="22"/>
          <w:szCs w:val="22"/>
          <w:highlight w:val="none"/>
        </w:rPr>
        <w:t>（含资格审查部分）</w:t>
      </w:r>
      <w:r>
        <w:rPr>
          <w:rFonts w:ascii="宋体" w:cs="Times New Roman"/>
          <w:bCs/>
          <w:color w:val="auto"/>
          <w:sz w:val="22"/>
          <w:szCs w:val="22"/>
          <w:highlight w:val="none"/>
        </w:rPr>
        <w:t>：一式</w:t>
      </w:r>
      <w:r>
        <w:rPr>
          <w:rFonts w:hint="eastAsia" w:ascii="宋体" w:cs="Times New Roman"/>
          <w:bCs/>
          <w:color w:val="auto"/>
          <w:sz w:val="22"/>
          <w:szCs w:val="22"/>
          <w:highlight w:val="none"/>
        </w:rPr>
        <w:t>二</w:t>
      </w:r>
      <w:r>
        <w:rPr>
          <w:rFonts w:ascii="宋体" w:cs="Times New Roman"/>
          <w:bCs/>
          <w:color w:val="auto"/>
          <w:sz w:val="22"/>
          <w:szCs w:val="22"/>
          <w:highlight w:val="none"/>
        </w:rPr>
        <w:t>份,正本一份，副本</w:t>
      </w:r>
      <w:r>
        <w:rPr>
          <w:rFonts w:hint="eastAsia" w:ascii="宋体" w:cs="Times New Roman"/>
          <w:bCs/>
          <w:color w:val="auto"/>
          <w:sz w:val="22"/>
          <w:szCs w:val="22"/>
          <w:highlight w:val="none"/>
        </w:rPr>
        <w:t>一</w:t>
      </w:r>
      <w:r>
        <w:rPr>
          <w:rFonts w:ascii="宋体" w:cs="Times New Roman"/>
          <w:bCs/>
          <w:color w:val="auto"/>
          <w:sz w:val="22"/>
          <w:szCs w:val="22"/>
          <w:highlight w:val="none"/>
        </w:rPr>
        <w:t>份；</w:t>
      </w:r>
    </w:p>
    <w:p w14:paraId="452E9013">
      <w:pPr>
        <w:snapToGrid w:val="0"/>
        <w:spacing w:line="520" w:lineRule="exact"/>
        <w:ind w:firstLine="440" w:firstLineChars="200"/>
        <w:rPr>
          <w:rFonts w:ascii="宋体" w:cs="Times New Roman"/>
          <w:bCs/>
          <w:color w:val="auto"/>
          <w:sz w:val="22"/>
          <w:szCs w:val="22"/>
          <w:highlight w:val="none"/>
        </w:rPr>
      </w:pPr>
      <w:r>
        <w:rPr>
          <w:rFonts w:ascii="宋体" w:cs="Times New Roman"/>
          <w:bCs/>
          <w:color w:val="auto"/>
          <w:sz w:val="22"/>
          <w:szCs w:val="22"/>
          <w:highlight w:val="none"/>
        </w:rPr>
        <w:t>（2）电子竞选文件U盘</w:t>
      </w:r>
      <w:r>
        <w:rPr>
          <w:rFonts w:hint="eastAsia" w:ascii="宋体" w:cs="Times New Roman"/>
          <w:bCs/>
          <w:color w:val="auto"/>
          <w:sz w:val="22"/>
          <w:szCs w:val="22"/>
          <w:highlight w:val="none"/>
        </w:rPr>
        <w:t>（</w:t>
      </w:r>
      <w:r>
        <w:rPr>
          <w:rFonts w:ascii="宋体" w:cs="Times New Roman"/>
          <w:bCs/>
          <w:color w:val="auto"/>
          <w:sz w:val="22"/>
          <w:szCs w:val="22"/>
          <w:highlight w:val="none"/>
        </w:rPr>
        <w:t>或光盘</w:t>
      </w:r>
      <w:r>
        <w:rPr>
          <w:rFonts w:hint="eastAsia" w:ascii="宋体" w:cs="Times New Roman"/>
          <w:bCs/>
          <w:color w:val="auto"/>
          <w:sz w:val="22"/>
          <w:szCs w:val="22"/>
          <w:highlight w:val="none"/>
        </w:rPr>
        <w:t>）2</w:t>
      </w:r>
      <w:r>
        <w:rPr>
          <w:rFonts w:ascii="宋体" w:cs="Times New Roman"/>
          <w:bCs/>
          <w:color w:val="auto"/>
          <w:sz w:val="22"/>
          <w:szCs w:val="22"/>
          <w:highlight w:val="none"/>
        </w:rPr>
        <w:t>份（包含竞选文件的所有内容</w:t>
      </w:r>
      <w:r>
        <w:rPr>
          <w:rFonts w:hint="eastAsia" w:ascii="宋体" w:cs="Times New Roman"/>
          <w:bCs/>
          <w:color w:val="auto"/>
          <w:sz w:val="22"/>
          <w:szCs w:val="22"/>
          <w:highlight w:val="none"/>
        </w:rPr>
        <w:t>盖章扫描件</w:t>
      </w:r>
      <w:r>
        <w:rPr>
          <w:rFonts w:ascii="宋体" w:cs="Times New Roman"/>
          <w:bCs/>
          <w:color w:val="auto"/>
          <w:sz w:val="22"/>
          <w:szCs w:val="22"/>
          <w:highlight w:val="none"/>
        </w:rPr>
        <w:t>）。</w:t>
      </w:r>
    </w:p>
    <w:p w14:paraId="45B7B96D">
      <w:pPr>
        <w:snapToGrid w:val="0"/>
        <w:spacing w:line="520" w:lineRule="exact"/>
        <w:ind w:firstLine="440" w:firstLineChars="200"/>
        <w:rPr>
          <w:rFonts w:ascii="宋体" w:cs="Times New Roman"/>
          <w:bCs/>
          <w:color w:val="auto"/>
          <w:sz w:val="22"/>
          <w:szCs w:val="22"/>
          <w:highlight w:val="none"/>
        </w:rPr>
      </w:pPr>
      <w:r>
        <w:rPr>
          <w:rFonts w:ascii="宋体" w:cs="Times New Roman"/>
          <w:bCs/>
          <w:color w:val="auto"/>
          <w:sz w:val="22"/>
          <w:szCs w:val="22"/>
          <w:highlight w:val="none"/>
        </w:rPr>
        <w:t>注：正本和副本的封面上应清楚地标记“正本”或“副本”的字样，正本和副本封面均须加盖竞选人单位公章。当副本和正本不一致时，以正本为准。</w:t>
      </w:r>
    </w:p>
    <w:p w14:paraId="60A0F99D">
      <w:pPr>
        <w:snapToGrid w:val="0"/>
        <w:spacing w:line="520" w:lineRule="exact"/>
        <w:ind w:firstLine="442" w:firstLineChars="200"/>
        <w:jc w:val="both"/>
        <w:rPr>
          <w:rFonts w:ascii="宋体" w:cs="Times New Roman"/>
          <w:b/>
          <w:bCs/>
          <w:color w:val="auto"/>
          <w:kern w:val="2"/>
          <w:sz w:val="22"/>
          <w:szCs w:val="22"/>
          <w:highlight w:val="none"/>
        </w:rPr>
      </w:pPr>
      <w:r>
        <w:rPr>
          <w:rFonts w:ascii="宋体" w:cs="Times New Roman"/>
          <w:b/>
          <w:bCs/>
          <w:color w:val="auto"/>
          <w:sz w:val="22"/>
          <w:szCs w:val="22"/>
          <w:highlight w:val="none"/>
        </w:rPr>
        <w:t>12.3</w:t>
      </w:r>
      <w:r>
        <w:rPr>
          <w:rFonts w:ascii="宋体" w:cs="Times New Roman"/>
          <w:b/>
          <w:bCs/>
          <w:color w:val="auto"/>
          <w:kern w:val="2"/>
          <w:sz w:val="22"/>
          <w:szCs w:val="22"/>
          <w:highlight w:val="none"/>
        </w:rPr>
        <w:t>装订要求：</w:t>
      </w:r>
    </w:p>
    <w:p w14:paraId="72A535A8">
      <w:pPr>
        <w:snapToGrid w:val="0"/>
        <w:spacing w:line="520" w:lineRule="exact"/>
        <w:ind w:firstLine="440" w:firstLineChars="200"/>
        <w:rPr>
          <w:rFonts w:ascii="宋体" w:cs="Times New Roman"/>
          <w:bCs/>
          <w:color w:val="auto"/>
          <w:sz w:val="22"/>
          <w:szCs w:val="22"/>
          <w:highlight w:val="none"/>
        </w:rPr>
      </w:pPr>
      <w:r>
        <w:rPr>
          <w:rFonts w:ascii="宋体" w:cs="Times New Roman"/>
          <w:bCs/>
          <w:color w:val="auto"/>
          <w:sz w:val="22"/>
          <w:szCs w:val="22"/>
          <w:highlight w:val="none"/>
        </w:rPr>
        <w:t>（1）装订要求：应按照第六章规定格式装订成册，并应编制目录。</w:t>
      </w:r>
    </w:p>
    <w:p w14:paraId="0CF59AF4">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12.4竞选文件的密封：</w:t>
      </w:r>
    </w:p>
    <w:p w14:paraId="69E18F4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（1）电子竞选文件U盘或光盘表面须粘贴标签并注明项目名称、竞选人名称、并加盖竞选人单位公章。</w:t>
      </w:r>
    </w:p>
    <w:p w14:paraId="035A5BC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（2）竞选函部分</w:t>
      </w:r>
      <w:r>
        <w:rPr>
          <w:rFonts w:hint="eastAsia" w:ascii="宋体" w:cs="Times New Roman"/>
          <w:bCs/>
          <w:color w:val="auto"/>
          <w:sz w:val="22"/>
          <w:szCs w:val="22"/>
          <w:highlight w:val="none"/>
        </w:rPr>
        <w:t>（含资格审查部分）</w:t>
      </w:r>
      <w:r>
        <w:rPr>
          <w:rFonts w:ascii="宋体"/>
          <w:color w:val="auto"/>
          <w:sz w:val="22"/>
          <w:szCs w:val="22"/>
          <w:highlight w:val="none"/>
        </w:rPr>
        <w:t>装入“竞选文件”袋中，密封并在袋上封口处加盖竞选人单位公章。</w:t>
      </w:r>
    </w:p>
    <w:p w14:paraId="7C3CE17D">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电子竞选文件U盘（或光盘）装入“竞选文件”袋中，密封并在大袋上加盖竞选人单位公章。</w:t>
      </w:r>
    </w:p>
    <w:p w14:paraId="5A4447EE">
      <w:pPr>
        <w:snapToGrid w:val="0"/>
        <w:spacing w:line="520" w:lineRule="exact"/>
        <w:ind w:firstLine="442" w:firstLineChars="200"/>
        <w:rPr>
          <w:rFonts w:ascii="宋体"/>
          <w:b/>
          <w:color w:val="auto"/>
          <w:sz w:val="22"/>
          <w:szCs w:val="22"/>
          <w:highlight w:val="none"/>
        </w:rPr>
      </w:pPr>
      <w:r>
        <w:rPr>
          <w:rFonts w:ascii="宋体"/>
          <w:b/>
          <w:color w:val="auto"/>
          <w:sz w:val="22"/>
          <w:szCs w:val="22"/>
          <w:highlight w:val="none"/>
        </w:rPr>
        <w:t>12.5封套上写明：</w:t>
      </w:r>
    </w:p>
    <w:p w14:paraId="2FBC835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“竞选文件”袋封套应写明以下内容：</w:t>
      </w:r>
    </w:p>
    <w:p w14:paraId="6ECD028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项目名称：</w:t>
      </w:r>
      <w:r>
        <w:rPr>
          <w:rFonts w:ascii="宋体"/>
          <w:color w:val="auto"/>
          <w:sz w:val="22"/>
          <w:szCs w:val="22"/>
          <w:highlight w:val="none"/>
          <w:u w:val="single" w:color="000000"/>
        </w:rPr>
        <w:t xml:space="preserve">                  </w:t>
      </w:r>
      <w:r>
        <w:rPr>
          <w:rFonts w:ascii="宋体"/>
          <w:color w:val="auto"/>
          <w:sz w:val="22"/>
          <w:szCs w:val="22"/>
          <w:highlight w:val="none"/>
        </w:rPr>
        <w:t xml:space="preserve">                      </w:t>
      </w:r>
    </w:p>
    <w:p w14:paraId="6B73A1F3">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竞选人名称：</w:t>
      </w:r>
      <w:r>
        <w:rPr>
          <w:rFonts w:ascii="宋体"/>
          <w:color w:val="auto"/>
          <w:sz w:val="22"/>
          <w:szCs w:val="22"/>
          <w:highlight w:val="none"/>
          <w:u w:val="single" w:color="000000"/>
        </w:rPr>
        <w:t xml:space="preserve">                </w:t>
      </w:r>
      <w:r>
        <w:rPr>
          <w:rFonts w:ascii="宋体"/>
          <w:color w:val="auto"/>
          <w:sz w:val="22"/>
          <w:szCs w:val="22"/>
          <w:highlight w:val="none"/>
        </w:rPr>
        <w:t xml:space="preserve">（加盖竞选人单位公章）       </w:t>
      </w:r>
    </w:p>
    <w:p w14:paraId="362D0CC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竞选人地址：</w:t>
      </w:r>
      <w:r>
        <w:rPr>
          <w:rFonts w:ascii="宋体"/>
          <w:color w:val="auto"/>
          <w:sz w:val="22"/>
          <w:szCs w:val="22"/>
          <w:highlight w:val="none"/>
          <w:u w:val="single" w:color="000000"/>
        </w:rPr>
        <w:t xml:space="preserve">                </w:t>
      </w:r>
    </w:p>
    <w:p w14:paraId="10D64CEC">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竞选文件在</w:t>
      </w:r>
      <w:r>
        <w:rPr>
          <w:rFonts w:ascii="宋体"/>
          <w:color w:val="auto"/>
          <w:sz w:val="22"/>
          <w:szCs w:val="22"/>
          <w:highlight w:val="none"/>
          <w:u w:val="single" w:color="000000"/>
        </w:rPr>
        <w:t xml:space="preserve">   </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1</w:t>
      </w:r>
      <w:r>
        <w:rPr>
          <w:rFonts w:hint="eastAsia" w:ascii="宋体"/>
          <w:color w:val="auto"/>
          <w:sz w:val="22"/>
          <w:szCs w:val="22"/>
          <w:highlight w:val="none"/>
          <w:u w:val="single" w:color="000000"/>
        </w:rPr>
        <w:t>0</w:t>
      </w:r>
      <w:r>
        <w:rPr>
          <w:rFonts w:ascii="宋体"/>
          <w:color w:val="auto"/>
          <w:sz w:val="22"/>
          <w:szCs w:val="22"/>
          <w:highlight w:val="none"/>
          <w:u w:val="single" w:color="000000"/>
        </w:rPr>
        <w:t xml:space="preserve"> </w:t>
      </w:r>
      <w:r>
        <w:rPr>
          <w:rFonts w:ascii="宋体"/>
          <w:color w:val="auto"/>
          <w:sz w:val="22"/>
          <w:szCs w:val="22"/>
          <w:highlight w:val="none"/>
        </w:rPr>
        <w:t>时</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rPr>
        <w:t>0</w:t>
      </w:r>
      <w:r>
        <w:rPr>
          <w:rFonts w:ascii="宋体"/>
          <w:color w:val="auto"/>
          <w:sz w:val="22"/>
          <w:szCs w:val="22"/>
          <w:highlight w:val="none"/>
          <w:u w:val="single" w:color="000000"/>
        </w:rPr>
        <w:t xml:space="preserve">0 </w:t>
      </w:r>
      <w:r>
        <w:rPr>
          <w:rFonts w:ascii="宋体"/>
          <w:color w:val="auto"/>
          <w:sz w:val="22"/>
          <w:szCs w:val="22"/>
          <w:highlight w:val="none"/>
        </w:rPr>
        <w:t>分前不得开启</w:t>
      </w:r>
    </w:p>
    <w:p w14:paraId="0A2AC7B2">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竞选文件没有按上述规定密封，该竞选文件将被拒绝接收。</w:t>
      </w:r>
    </w:p>
    <w:p w14:paraId="606A76B7">
      <w:pPr>
        <w:snapToGrid w:val="0"/>
        <w:spacing w:line="520" w:lineRule="exact"/>
        <w:ind w:firstLine="442" w:firstLineChars="200"/>
        <w:rPr>
          <w:rFonts w:ascii="宋体" w:cs="Times New Roman"/>
          <w:b/>
          <w:bCs/>
          <w:color w:val="auto"/>
          <w:sz w:val="22"/>
          <w:szCs w:val="22"/>
          <w:highlight w:val="none"/>
        </w:rPr>
      </w:pPr>
      <w:r>
        <w:rPr>
          <w:rFonts w:ascii="宋体" w:cs="Times New Roman"/>
          <w:b/>
          <w:bCs/>
          <w:color w:val="auto"/>
          <w:sz w:val="22"/>
          <w:szCs w:val="22"/>
          <w:highlight w:val="none"/>
        </w:rPr>
        <w:t>12.6比选时间</w:t>
      </w:r>
    </w:p>
    <w:p w14:paraId="25371442">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（1）比选时间：</w:t>
      </w:r>
      <w:r>
        <w:rPr>
          <w:rFonts w:ascii="宋体"/>
          <w:color w:val="auto"/>
          <w:sz w:val="22"/>
          <w:szCs w:val="22"/>
          <w:highlight w:val="none"/>
          <w:u w:val="single" w:color="000000"/>
        </w:rPr>
        <w:t xml:space="preserve"> 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rPr>
        <w:t>10</w:t>
      </w:r>
      <w:r>
        <w:rPr>
          <w:rFonts w:ascii="宋体"/>
          <w:color w:val="auto"/>
          <w:sz w:val="22"/>
          <w:szCs w:val="22"/>
          <w:highlight w:val="none"/>
          <w:u w:val="single" w:color="000000"/>
        </w:rPr>
        <w:t xml:space="preserve">  </w:t>
      </w:r>
      <w:r>
        <w:rPr>
          <w:rFonts w:ascii="宋体"/>
          <w:color w:val="auto"/>
          <w:sz w:val="22"/>
          <w:szCs w:val="22"/>
          <w:highlight w:val="none"/>
        </w:rPr>
        <w:t>时</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rPr>
        <w:t>0</w:t>
      </w:r>
      <w:r>
        <w:rPr>
          <w:rFonts w:ascii="宋体"/>
          <w:color w:val="auto"/>
          <w:sz w:val="22"/>
          <w:szCs w:val="22"/>
          <w:highlight w:val="none"/>
          <w:u w:val="single" w:color="000000"/>
        </w:rPr>
        <w:t xml:space="preserve">0 </w:t>
      </w:r>
      <w:r>
        <w:rPr>
          <w:rFonts w:ascii="宋体"/>
          <w:color w:val="auto"/>
          <w:sz w:val="22"/>
          <w:szCs w:val="22"/>
          <w:highlight w:val="none"/>
        </w:rPr>
        <w:t>分。</w:t>
      </w:r>
    </w:p>
    <w:p w14:paraId="144A4441">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（2）竞选文件递交时间：</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w:t>
      </w:r>
      <w:r>
        <w:rPr>
          <w:rFonts w:hint="eastAsia" w:ascii="宋体"/>
          <w:color w:val="auto"/>
          <w:sz w:val="22"/>
          <w:szCs w:val="22"/>
          <w:highlight w:val="none"/>
          <w:u w:val="single" w:color="000000"/>
        </w:rPr>
        <w:t>09</w:t>
      </w:r>
      <w:r>
        <w:rPr>
          <w:rFonts w:ascii="宋体"/>
          <w:color w:val="auto"/>
          <w:sz w:val="22"/>
          <w:szCs w:val="22"/>
          <w:highlight w:val="none"/>
          <w:u w:val="single" w:color="000000"/>
        </w:rPr>
        <w:t xml:space="preserve">  </w:t>
      </w:r>
      <w:r>
        <w:rPr>
          <w:rFonts w:ascii="宋体"/>
          <w:color w:val="auto"/>
          <w:sz w:val="22"/>
          <w:szCs w:val="22"/>
          <w:highlight w:val="none"/>
        </w:rPr>
        <w:t>时</w:t>
      </w:r>
      <w:r>
        <w:rPr>
          <w:rFonts w:hint="eastAsia" w:ascii="宋体"/>
          <w:color w:val="auto"/>
          <w:sz w:val="22"/>
          <w:szCs w:val="22"/>
          <w:highlight w:val="none"/>
          <w:u w:val="single" w:color="000000"/>
        </w:rPr>
        <w:t>3</w:t>
      </w:r>
      <w:r>
        <w:rPr>
          <w:rFonts w:ascii="宋体"/>
          <w:color w:val="auto"/>
          <w:sz w:val="22"/>
          <w:szCs w:val="22"/>
          <w:highlight w:val="none"/>
          <w:u w:val="single" w:color="000000"/>
        </w:rPr>
        <w:t>0</w:t>
      </w:r>
      <w:r>
        <w:rPr>
          <w:rFonts w:ascii="宋体"/>
          <w:color w:val="auto"/>
          <w:sz w:val="22"/>
          <w:szCs w:val="22"/>
          <w:highlight w:val="none"/>
        </w:rPr>
        <w:t>分至</w:t>
      </w:r>
      <w:r>
        <w:rPr>
          <w:rFonts w:ascii="宋体"/>
          <w:color w:val="auto"/>
          <w:sz w:val="22"/>
          <w:szCs w:val="22"/>
          <w:highlight w:val="none"/>
          <w:u w:val="single" w:color="000000"/>
        </w:rPr>
        <w:t>202</w:t>
      </w:r>
      <w:r>
        <w:rPr>
          <w:rFonts w:hint="eastAsia" w:ascii="宋体"/>
          <w:color w:val="auto"/>
          <w:sz w:val="22"/>
          <w:szCs w:val="22"/>
          <w:highlight w:val="none"/>
          <w:u w:val="single" w:color="000000"/>
          <w:lang w:val="en-US" w:eastAsia="zh-CN"/>
        </w:rPr>
        <w:t>5</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r>
        <w:rPr>
          <w:rFonts w:ascii="宋体"/>
          <w:color w:val="auto"/>
          <w:sz w:val="22"/>
          <w:szCs w:val="22"/>
          <w:highlight w:val="none"/>
          <w:u w:val="single" w:color="000000"/>
        </w:rPr>
        <w:t xml:space="preserve"> 1</w:t>
      </w:r>
      <w:r>
        <w:rPr>
          <w:rFonts w:hint="eastAsia" w:ascii="宋体"/>
          <w:color w:val="auto"/>
          <w:sz w:val="22"/>
          <w:szCs w:val="22"/>
          <w:highlight w:val="none"/>
          <w:u w:val="single" w:color="000000"/>
        </w:rPr>
        <w:t>0</w:t>
      </w:r>
      <w:r>
        <w:rPr>
          <w:rFonts w:ascii="宋体"/>
          <w:color w:val="auto"/>
          <w:sz w:val="22"/>
          <w:szCs w:val="22"/>
          <w:highlight w:val="none"/>
          <w:u w:val="single" w:color="000000"/>
        </w:rPr>
        <w:t xml:space="preserve">  </w:t>
      </w:r>
      <w:r>
        <w:rPr>
          <w:rFonts w:ascii="宋体"/>
          <w:color w:val="auto"/>
          <w:sz w:val="22"/>
          <w:szCs w:val="22"/>
          <w:highlight w:val="none"/>
        </w:rPr>
        <w:t>时</w:t>
      </w:r>
      <w:r>
        <w:rPr>
          <w:rFonts w:hint="eastAsia" w:ascii="宋体"/>
          <w:color w:val="auto"/>
          <w:sz w:val="22"/>
          <w:szCs w:val="22"/>
          <w:highlight w:val="none"/>
          <w:u w:val="single" w:color="000000"/>
        </w:rPr>
        <w:t>0</w:t>
      </w:r>
      <w:r>
        <w:rPr>
          <w:rFonts w:ascii="宋体"/>
          <w:color w:val="auto"/>
          <w:sz w:val="22"/>
          <w:szCs w:val="22"/>
          <w:highlight w:val="none"/>
          <w:u w:val="single" w:color="000000"/>
        </w:rPr>
        <w:t>0</w:t>
      </w:r>
      <w:r>
        <w:rPr>
          <w:rFonts w:ascii="宋体"/>
          <w:color w:val="auto"/>
          <w:sz w:val="22"/>
          <w:szCs w:val="22"/>
          <w:highlight w:val="none"/>
        </w:rPr>
        <w:t>分。</w:t>
      </w:r>
    </w:p>
    <w:p w14:paraId="3A910479">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（3）比选地点：重庆高新区金凤镇高新大道6号西区孵化楼2号楼201室（高德导航搜索“重庆高新区管委会 ”即可到达）。</w:t>
      </w:r>
    </w:p>
    <w:p w14:paraId="3FD456D4">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13、比选程序</w:t>
      </w:r>
    </w:p>
    <w:p w14:paraId="4A01A7F3">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主持人按下列程序进行比选：</w:t>
      </w:r>
    </w:p>
    <w:p w14:paraId="516B1CA1">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13.1宣布会场纪律；</w:t>
      </w:r>
    </w:p>
    <w:p w14:paraId="2C830A9B">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13.2宣布比选人、记录人、监督人等有关人员姓名；</w:t>
      </w:r>
    </w:p>
    <w:p w14:paraId="6CDA6A76">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13.3公布在竞选截止时间前递交竞选文件的竞选人名称，并点名确认法定代表人或其授权代表人是否到场。</w:t>
      </w:r>
    </w:p>
    <w:p w14:paraId="1B01841C">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13.4核验参加比选会议的竞选人代表的手持件，以确认其身份合法有效。若核验不合格或未提供资料核验的，竞选文件将不予以开启。</w:t>
      </w:r>
    </w:p>
    <w:p w14:paraId="1F98788C">
      <w:pPr>
        <w:numPr>
          <w:ilvl w:val="0"/>
          <w:numId w:val="1"/>
        </w:numPr>
        <w:snapToGrid w:val="0"/>
        <w:spacing w:line="460" w:lineRule="exact"/>
        <w:ind w:left="0" w:firstLine="440" w:firstLineChars="200"/>
        <w:rPr>
          <w:rFonts w:ascii="宋体" w:cs="Times New Roman"/>
          <w:color w:val="auto"/>
          <w:sz w:val="22"/>
          <w:szCs w:val="22"/>
          <w:highlight w:val="none"/>
        </w:rPr>
      </w:pPr>
      <w:r>
        <w:rPr>
          <w:rFonts w:ascii="宋体" w:cs="Times New Roman"/>
          <w:color w:val="auto"/>
          <w:sz w:val="22"/>
          <w:szCs w:val="22"/>
          <w:highlight w:val="none"/>
        </w:rPr>
        <w:t>委托代理人参与竞选的：应提供法定代表人身份证明（原件）、授权委托书（原件）、本人二代身份证（原件）、竞选人本单位为其缴纳</w:t>
      </w:r>
      <w:r>
        <w:rPr>
          <w:rFonts w:hint="eastAsia" w:ascii="宋体" w:cs="Times New Roman"/>
          <w:color w:val="auto"/>
          <w:sz w:val="22"/>
          <w:szCs w:val="22"/>
          <w:highlight w:val="none"/>
        </w:rPr>
        <w:t>至少包含</w:t>
      </w:r>
      <w:r>
        <w:rPr>
          <w:rFonts w:ascii="宋体" w:cs="Times New Roman"/>
          <w:color w:val="auto"/>
          <w:sz w:val="22"/>
          <w:szCs w:val="22"/>
          <w:highlight w:val="none"/>
        </w:rPr>
        <w:t>202</w:t>
      </w:r>
      <w:r>
        <w:rPr>
          <w:rFonts w:hint="eastAsia" w:ascii="宋体" w:cs="Times New Roman"/>
          <w:color w:val="auto"/>
          <w:sz w:val="22"/>
          <w:szCs w:val="22"/>
          <w:highlight w:val="none"/>
          <w:lang w:val="en-US" w:eastAsia="zh-CN"/>
        </w:rPr>
        <w:t>5</w:t>
      </w:r>
      <w:r>
        <w:rPr>
          <w:rFonts w:ascii="宋体" w:cs="Times New Roman"/>
          <w:color w:val="auto"/>
          <w:sz w:val="22"/>
          <w:szCs w:val="22"/>
          <w:highlight w:val="none"/>
        </w:rPr>
        <w:t>年</w:t>
      </w:r>
      <w:r>
        <w:rPr>
          <w:rFonts w:hint="eastAsia" w:ascii="宋体" w:cs="Times New Roman"/>
          <w:color w:val="auto"/>
          <w:sz w:val="22"/>
          <w:szCs w:val="22"/>
          <w:highlight w:val="none"/>
          <w:lang w:val="en-US" w:eastAsia="zh-CN"/>
        </w:rPr>
        <w:t>1</w:t>
      </w:r>
      <w:r>
        <w:rPr>
          <w:rFonts w:hint="eastAsia" w:ascii="宋体" w:cs="Times New Roman"/>
          <w:color w:val="auto"/>
          <w:sz w:val="22"/>
          <w:szCs w:val="22"/>
          <w:highlight w:val="none"/>
          <w:lang w:val="en-US" w:eastAsia="zh-CN"/>
        </w:rPr>
        <w:t>0</w:t>
      </w:r>
      <w:r>
        <w:rPr>
          <w:rFonts w:ascii="宋体" w:cs="Times New Roman"/>
          <w:color w:val="auto"/>
          <w:sz w:val="22"/>
          <w:szCs w:val="22"/>
          <w:highlight w:val="none"/>
        </w:rPr>
        <w:t>月养老保险缴费证明材料复印件并加盖竞选人单位公章。</w:t>
      </w:r>
    </w:p>
    <w:p w14:paraId="3F229C77">
      <w:pPr>
        <w:numPr>
          <w:ilvl w:val="0"/>
          <w:numId w:val="1"/>
        </w:numPr>
        <w:snapToGrid w:val="0"/>
        <w:spacing w:line="460" w:lineRule="exact"/>
        <w:ind w:left="0" w:firstLine="440" w:firstLineChars="200"/>
        <w:rPr>
          <w:rFonts w:ascii="宋体" w:cs="Times New Roman"/>
          <w:color w:val="auto"/>
          <w:sz w:val="22"/>
          <w:szCs w:val="22"/>
          <w:highlight w:val="none"/>
        </w:rPr>
      </w:pPr>
      <w:r>
        <w:rPr>
          <w:rFonts w:ascii="宋体" w:cs="Times New Roman"/>
          <w:color w:val="auto"/>
          <w:sz w:val="22"/>
          <w:szCs w:val="22"/>
          <w:highlight w:val="none"/>
        </w:rPr>
        <w:t>法定代表人参与竞选的：应提供法定代表人身份证明（原件）、本人二代身份证（原件）。</w:t>
      </w:r>
    </w:p>
    <w:p w14:paraId="7A0097F6">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13.5核验竞选保证金的缴纳情况，未足额缴纳竞选保证金的竞选文件，不予开启，当场退还其竞选文件。</w:t>
      </w:r>
    </w:p>
    <w:p w14:paraId="06EE79CE">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13.6密封情况检查：竞选人推荐的代表检查所有竞选文件的密封情况并确认；</w:t>
      </w:r>
    </w:p>
    <w:p w14:paraId="1DD20617">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13.7公布最高限价；</w:t>
      </w:r>
    </w:p>
    <w:p w14:paraId="300F83A4">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13.8开启竞选文件顺序：随机开启；</w:t>
      </w:r>
    </w:p>
    <w:p w14:paraId="6FF77D3A">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13.9开启竞选文件袋，公布竞选人名称、项目名称、竞选报价、项目负责人、服务期等内容；</w:t>
      </w:r>
    </w:p>
    <w:p w14:paraId="3A882AC1">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13.10竞选人代表、比选人代表、监督人、记录人等有关人员在比选记录上签字确认；</w:t>
      </w:r>
    </w:p>
    <w:p w14:paraId="7633AD21">
      <w:pPr>
        <w:snapToGrid w:val="0"/>
        <w:spacing w:line="460" w:lineRule="exact"/>
        <w:ind w:firstLine="440" w:firstLineChars="200"/>
        <w:rPr>
          <w:rFonts w:ascii="宋体"/>
          <w:color w:val="auto"/>
          <w:sz w:val="22"/>
          <w:szCs w:val="22"/>
          <w:highlight w:val="none"/>
        </w:rPr>
      </w:pPr>
      <w:r>
        <w:rPr>
          <w:rFonts w:ascii="宋体"/>
          <w:color w:val="auto"/>
          <w:sz w:val="22"/>
          <w:szCs w:val="22"/>
          <w:highlight w:val="none"/>
        </w:rPr>
        <w:t>13.11会议结束。</w:t>
      </w:r>
    </w:p>
    <w:p w14:paraId="05059F6C">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14、评选委员会的组建</w:t>
      </w:r>
    </w:p>
    <w:p w14:paraId="791C4ECA">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评选委员会的构成：3人或3人以上的单数。</w:t>
      </w:r>
    </w:p>
    <w:p w14:paraId="5B99C58A">
      <w:pPr>
        <w:snapToGrid w:val="0"/>
        <w:spacing w:line="520" w:lineRule="exact"/>
        <w:ind w:firstLine="440" w:firstLineChars="200"/>
        <w:rPr>
          <w:rFonts w:ascii="宋体"/>
          <w:color w:val="auto"/>
          <w:highlight w:val="none"/>
        </w:rPr>
      </w:pPr>
      <w:r>
        <w:rPr>
          <w:rFonts w:ascii="宋体"/>
          <w:color w:val="auto"/>
          <w:sz w:val="22"/>
          <w:szCs w:val="22"/>
          <w:highlight w:val="none"/>
        </w:rPr>
        <w:t>评选委员会确定方式：由比选人按法律法规及相关规定依法组建评标委员会。</w:t>
      </w:r>
    </w:p>
    <w:p w14:paraId="04853D3C">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15、中选通知及确认</w:t>
      </w:r>
    </w:p>
    <w:p w14:paraId="15486258">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15.1评选结果经比选人确认后在“重庆科学城城市建设集团有限公司http://www.cqgkt.com”网站上进行公示，公示期不少于3日。公示期结束后</w:t>
      </w:r>
      <w:r>
        <w:rPr>
          <w:rFonts w:hint="eastAsia" w:ascii="宋体"/>
          <w:color w:val="auto"/>
          <w:sz w:val="22"/>
          <w:szCs w:val="22"/>
          <w:highlight w:val="none"/>
        </w:rPr>
        <w:t>3个工作日</w:t>
      </w:r>
      <w:r>
        <w:rPr>
          <w:rFonts w:ascii="宋体"/>
          <w:color w:val="auto"/>
          <w:sz w:val="22"/>
          <w:szCs w:val="22"/>
          <w:highlight w:val="none"/>
        </w:rPr>
        <w:t>内，中选人在规定时间内按照竞争性比选文件约定缴纳相关费用和履行完毕竞争性比选文件规定的相关义务后，比选人以书面形式向中选人发出中选通知书。如中选人未履行竞争性比选文件规定的相关义务及未领取中选通知书，将视为无故弃选和不诚信行为，取消其中选人资格，没收其竞选保证金，并按相关规定进行处理。</w:t>
      </w:r>
    </w:p>
    <w:p w14:paraId="5AC0D718">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15.2排名第一的中选候选人放弃中选、因不可抗力不能履行合同、未按要求提交履约保证金或低价风险担保，或者存在影响中选结果的违法行为等情形不具备中选条件的或者竞选人弄虚作假的，取消其中选人资格，没收其竞选保证金，并按相关规定进行处理。比选人将重新组织比选。</w:t>
      </w:r>
    </w:p>
    <w:p w14:paraId="1BFD3C56">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16、签订合同的时间</w:t>
      </w:r>
    </w:p>
    <w:p w14:paraId="54C27C79">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比选人和中选人应当自中选通知书发出之日起30日内订立书面合同。</w:t>
      </w:r>
    </w:p>
    <w:p w14:paraId="685966F0">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17、重新比选与二次比选</w:t>
      </w:r>
    </w:p>
    <w:p w14:paraId="01497B11">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 xml:space="preserve">17.1重新比选 </w:t>
      </w:r>
    </w:p>
    <w:p w14:paraId="5ADDF71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有下列情形之一的，比选人将重新比选：</w:t>
      </w:r>
    </w:p>
    <w:p w14:paraId="3C03716B">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（1）竞选截止时间止，竞选人少于 3 个的；</w:t>
      </w:r>
    </w:p>
    <w:p w14:paraId="7149B3C9">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（2）经评选委员会评审后否决所有竞选的；</w:t>
      </w:r>
    </w:p>
    <w:p w14:paraId="5E10F414">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3）经评选委员会评审后部分竞选被否决，导致有效竞选人不足三个的，评选委员会可以否决全部竞选。但是有效竞选人的经济、技术等指标仍然具有市场竞争力，能够满足竞争性比选文件要求的，评选委员会可以继续评选并确定中选候选人。</w:t>
      </w:r>
    </w:p>
    <w:p w14:paraId="0354B60F">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（4）法律法规规定的其他情形。</w:t>
      </w:r>
    </w:p>
    <w:p w14:paraId="38A0F333">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17.2不再比选</w:t>
      </w:r>
    </w:p>
    <w:p w14:paraId="75A005FA">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重新比选后竞选人仍少于3个，按规定程序开启竞选文件和评选，确定中选人。经评审无合格竞选人的，可不再组织比选。</w:t>
      </w:r>
    </w:p>
    <w:p w14:paraId="439C9AD8">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18、结算及付款方式</w:t>
      </w:r>
    </w:p>
    <w:p w14:paraId="4E6F5A3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详见合同部分</w:t>
      </w:r>
    </w:p>
    <w:p w14:paraId="7FBB464A">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19、比选代理服务费</w:t>
      </w:r>
    </w:p>
    <w:p w14:paraId="3DA7B452">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19.1收费标准：参照国家发展改革委《招标代理服务收费管理暂行办法》（计价格〔2002〕1980号）、《关于招标代理服务收费有关问题的通知》（发改办价格〔2003〕857号）、《关于降低部分建设项目收费标准规范收费行为等有关问题的通知》(发改价格〔2011〕534号)等文件,以〔2011〕534号文为收费标准（按差额定率累进法计算）。采用最低价评标法时按收费标准的50%计费，最高不超过10万元</w:t>
      </w:r>
      <w:r>
        <w:rPr>
          <w:rFonts w:hint="eastAsia" w:ascii="宋体"/>
          <w:color w:val="auto"/>
          <w:sz w:val="22"/>
          <w:szCs w:val="22"/>
          <w:highlight w:val="none"/>
        </w:rPr>
        <w:t>，不超过0</w:t>
      </w:r>
      <w:r>
        <w:rPr>
          <w:rFonts w:ascii="宋体"/>
          <w:color w:val="auto"/>
          <w:sz w:val="22"/>
          <w:szCs w:val="22"/>
          <w:highlight w:val="none"/>
        </w:rPr>
        <w:t>.3</w:t>
      </w:r>
      <w:r>
        <w:rPr>
          <w:rFonts w:hint="eastAsia" w:ascii="宋体"/>
          <w:color w:val="auto"/>
          <w:sz w:val="22"/>
          <w:szCs w:val="22"/>
          <w:highlight w:val="none"/>
        </w:rPr>
        <w:t>万元按0</w:t>
      </w:r>
      <w:r>
        <w:rPr>
          <w:rFonts w:ascii="宋体"/>
          <w:color w:val="auto"/>
          <w:sz w:val="22"/>
          <w:szCs w:val="22"/>
          <w:highlight w:val="none"/>
        </w:rPr>
        <w:t>.3</w:t>
      </w:r>
      <w:r>
        <w:rPr>
          <w:rFonts w:hint="eastAsia" w:ascii="宋体"/>
          <w:color w:val="auto"/>
          <w:sz w:val="22"/>
          <w:szCs w:val="22"/>
          <w:highlight w:val="none"/>
        </w:rPr>
        <w:t>万元收取</w:t>
      </w:r>
      <w:r>
        <w:rPr>
          <w:rFonts w:ascii="宋体"/>
          <w:color w:val="auto"/>
          <w:sz w:val="22"/>
          <w:szCs w:val="22"/>
          <w:highlight w:val="none"/>
        </w:rPr>
        <w:t>。</w:t>
      </w:r>
    </w:p>
    <w:p w14:paraId="4D4E5FA7">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19.2支付方式：由中选人在领取中选通知书之前向代理机构支付比选代理服务费。</w:t>
      </w:r>
    </w:p>
    <w:p w14:paraId="1884D9F2">
      <w:pPr>
        <w:keepLines/>
        <w:snapToGrid w:val="0"/>
        <w:spacing w:line="520" w:lineRule="exact"/>
        <w:rPr>
          <w:rFonts w:ascii="宋体" w:cs="Times New Roman"/>
          <w:b/>
          <w:bCs/>
          <w:color w:val="auto"/>
          <w:sz w:val="28"/>
          <w:szCs w:val="28"/>
          <w:highlight w:val="none"/>
        </w:rPr>
      </w:pPr>
      <w:r>
        <w:rPr>
          <w:rFonts w:ascii="宋体" w:cs="Times New Roman"/>
          <w:b/>
          <w:bCs/>
          <w:color w:val="auto"/>
          <w:sz w:val="28"/>
          <w:szCs w:val="28"/>
          <w:highlight w:val="none"/>
        </w:rPr>
        <w:t>20、踏勘现场及其它</w:t>
      </w:r>
    </w:p>
    <w:p w14:paraId="50F62481">
      <w:pPr>
        <w:snapToGrid w:val="0"/>
        <w:spacing w:line="520" w:lineRule="exact"/>
        <w:ind w:firstLine="440" w:firstLineChars="200"/>
        <w:rPr>
          <w:rFonts w:ascii="宋体"/>
          <w:color w:val="auto"/>
          <w:highlight w:val="none"/>
        </w:rPr>
      </w:pPr>
      <w:r>
        <w:rPr>
          <w:rFonts w:ascii="宋体"/>
          <w:color w:val="auto"/>
          <w:sz w:val="22"/>
          <w:szCs w:val="22"/>
          <w:highlight w:val="none"/>
        </w:rPr>
        <w:t>20.1本项目不组织踏勘，由各竞选人自行踏勘，踏勘时安全问题由竞选人自行负责。</w:t>
      </w:r>
    </w:p>
    <w:p w14:paraId="5A22A5B5">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20.2本项目不接受联合体竞选。</w:t>
      </w:r>
    </w:p>
    <w:p w14:paraId="6F2651C6">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20.3竞选人不得存在下列情形之一：</w:t>
      </w:r>
    </w:p>
    <w:p w14:paraId="5DE2ED8A">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与比选人存在利害关系可能影响竞选公正性的法人、其他组织或者个人；</w:t>
      </w:r>
    </w:p>
    <w:p w14:paraId="020CD161">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为本标段前期准备提供设计或咨询服务的，但设计施工总承包的除外；</w:t>
      </w:r>
    </w:p>
    <w:p w14:paraId="16EFAC25">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为本标段的监理人；</w:t>
      </w:r>
    </w:p>
    <w:p w14:paraId="4E2939E3">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为本标段的代建人；</w:t>
      </w:r>
    </w:p>
    <w:p w14:paraId="02E32634">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为本标段提供比选代理服务的；</w:t>
      </w:r>
    </w:p>
    <w:p w14:paraId="7F345ED9">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与本标段的监理人或代建人或比选代理机构同为一个法定代表人的；</w:t>
      </w:r>
    </w:p>
    <w:p w14:paraId="2EB2363A">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与本标段的监理人或代建人或比选代理机构相互控股或参股的；</w:t>
      </w:r>
    </w:p>
    <w:p w14:paraId="0DB35199">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与本标段的监理人或代建人或比选代理机构相互任职或工作的；</w:t>
      </w:r>
    </w:p>
    <w:p w14:paraId="14EE2A9C">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被责令停业的；</w:t>
      </w:r>
    </w:p>
    <w:p w14:paraId="5765BBA9">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被国家、重庆市（含市或任意区县）有关行政部门处以暂停投标资格行政处罚，且在处罚期限内的；</w:t>
      </w:r>
    </w:p>
    <w:p w14:paraId="034BD698">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财产被接管或冻结的；</w:t>
      </w:r>
    </w:p>
    <w:p w14:paraId="53711165">
      <w:pPr>
        <w:numPr>
          <w:ilvl w:val="0"/>
          <w:numId w:val="2"/>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单位负责人为同一人或者存在控股、管理关系的不同单位，不得在同一标段中同时竞选。</w:t>
      </w:r>
    </w:p>
    <w:p w14:paraId="39C4450C">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20.4对于竞选人围标、串通竞选、提供虚假资料或中选后无故放弃中选以及违反国家相关法律法规规定的行为，其竞选保证金不予退还，记入重庆科学城城市建设集团有限公司的黑名单内，从记入黑名单起3年内，禁止参与重庆科学城城市建设集团有限公司及所有下属公司项目的竞选，并按相关规定进行处理。</w:t>
      </w:r>
    </w:p>
    <w:p w14:paraId="45411C28">
      <w:pPr>
        <w:snapToGrid w:val="0"/>
        <w:spacing w:line="520" w:lineRule="exact"/>
        <w:ind w:firstLine="440" w:firstLineChars="200"/>
        <w:rPr>
          <w:rFonts w:ascii="宋体"/>
          <w:color w:val="auto"/>
          <w:sz w:val="22"/>
          <w:szCs w:val="22"/>
          <w:highlight w:val="none"/>
        </w:rPr>
      </w:pPr>
      <w:r>
        <w:rPr>
          <w:rFonts w:ascii="宋体"/>
          <w:color w:val="auto"/>
          <w:sz w:val="22"/>
          <w:szCs w:val="22"/>
          <w:highlight w:val="none"/>
        </w:rPr>
        <w:t>有下列情形之一的，属于竞选人围标和相互串通竞选：</w:t>
      </w:r>
    </w:p>
    <w:p w14:paraId="560A77C6">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竞选人之间协商竞选报价等竞选文件的实质性内容；</w:t>
      </w:r>
    </w:p>
    <w:p w14:paraId="4E433B7A">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竞选人之间约定中选人；</w:t>
      </w:r>
    </w:p>
    <w:p w14:paraId="5492B5A5">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竞选人之间约定部分竞选人放弃竞选或者中选。</w:t>
      </w:r>
    </w:p>
    <w:p w14:paraId="52CF9599">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不同竞选人的竞选文件由同一单位或者个人编制；</w:t>
      </w:r>
    </w:p>
    <w:p w14:paraId="3E9C0352">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不同竞选人委托同一单位或者个人办理竞选事宜；</w:t>
      </w:r>
    </w:p>
    <w:p w14:paraId="3D2BDEB5">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不同竞选人的竞选文件载明的项目管理成员为同一人；</w:t>
      </w:r>
    </w:p>
    <w:p w14:paraId="5F6BAB00">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不同竞选人的竞选文件异常一致或者竞选报价呈规律性差异；</w:t>
      </w:r>
    </w:p>
    <w:p w14:paraId="02F7ABE4">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不同竞选人的竞选文件相互混装；</w:t>
      </w:r>
    </w:p>
    <w:p w14:paraId="25458735">
      <w:pPr>
        <w:numPr>
          <w:ilvl w:val="0"/>
          <w:numId w:val="3"/>
        </w:numPr>
        <w:snapToGrid w:val="0"/>
        <w:spacing w:line="520" w:lineRule="exact"/>
        <w:ind w:left="0" w:firstLine="440" w:firstLineChars="200"/>
        <w:rPr>
          <w:rFonts w:ascii="宋体"/>
          <w:color w:val="auto"/>
          <w:sz w:val="22"/>
          <w:szCs w:val="22"/>
          <w:highlight w:val="none"/>
        </w:rPr>
      </w:pPr>
      <w:r>
        <w:rPr>
          <w:rFonts w:ascii="宋体"/>
          <w:color w:val="auto"/>
          <w:sz w:val="22"/>
          <w:szCs w:val="22"/>
          <w:highlight w:val="none"/>
        </w:rPr>
        <w:t>法律法规规定的其他情形。</w:t>
      </w:r>
    </w:p>
    <w:p w14:paraId="62B65CCA">
      <w:pPr>
        <w:snapToGrid w:val="0"/>
        <w:spacing w:line="240" w:lineRule="exact"/>
        <w:rPr>
          <w:rFonts w:ascii="宋体" w:cs="Times New Roman"/>
          <w:b/>
          <w:bCs/>
          <w:color w:val="auto"/>
          <w:sz w:val="28"/>
          <w:szCs w:val="28"/>
          <w:highlight w:val="none"/>
        </w:rPr>
      </w:pPr>
      <w:r>
        <w:rPr>
          <w:rFonts w:ascii="宋体" w:cs="Times New Roman"/>
          <w:b/>
          <w:bCs/>
          <w:color w:val="auto"/>
          <w:sz w:val="28"/>
          <w:szCs w:val="28"/>
          <w:highlight w:val="none"/>
        </w:rPr>
        <w:br w:type="page"/>
      </w:r>
    </w:p>
    <w:p w14:paraId="417560BA">
      <w:pPr>
        <w:snapToGrid w:val="0"/>
        <w:spacing w:line="240" w:lineRule="exact"/>
        <w:rPr>
          <w:rFonts w:ascii="宋体" w:cs="Times New Roman"/>
          <w:b/>
          <w:bCs/>
          <w:color w:val="auto"/>
          <w:sz w:val="28"/>
          <w:szCs w:val="28"/>
          <w:highlight w:val="none"/>
        </w:rPr>
      </w:pPr>
    </w:p>
    <w:p w14:paraId="3D39ABD7">
      <w:pPr>
        <w:pStyle w:val="11"/>
        <w:snapToGrid w:val="0"/>
        <w:spacing w:line="460" w:lineRule="exact"/>
        <w:jc w:val="center"/>
        <w:rPr>
          <w:rFonts w:ascii="黑体" w:eastAsia="黑体"/>
          <w:bCs w:val="0"/>
          <w:color w:val="auto"/>
          <w:kern w:val="2"/>
          <w:highlight w:val="none"/>
        </w:rPr>
      </w:pPr>
      <w:r>
        <w:rPr>
          <w:rFonts w:ascii="黑体" w:eastAsia="黑体"/>
          <w:bCs w:val="0"/>
          <w:color w:val="auto"/>
          <w:kern w:val="2"/>
          <w:highlight w:val="none"/>
        </w:rPr>
        <w:t>第三章 评选办法（经评审的最低投标价法）</w:t>
      </w:r>
    </w:p>
    <w:p w14:paraId="21DE6FEE">
      <w:pPr>
        <w:keepLines/>
        <w:snapToGrid w:val="0"/>
        <w:spacing w:line="540" w:lineRule="exact"/>
        <w:rPr>
          <w:rFonts w:ascii="宋体" w:cs="Times New Roman"/>
          <w:b/>
          <w:bCs/>
          <w:color w:val="auto"/>
          <w:sz w:val="28"/>
          <w:szCs w:val="28"/>
          <w:highlight w:val="none"/>
        </w:rPr>
      </w:pPr>
      <w:r>
        <w:rPr>
          <w:rFonts w:ascii="宋体" w:cs="Times New Roman"/>
          <w:b/>
          <w:bCs/>
          <w:color w:val="auto"/>
          <w:sz w:val="28"/>
          <w:szCs w:val="28"/>
          <w:highlight w:val="none"/>
        </w:rPr>
        <w:t>1、评选办法</w:t>
      </w:r>
    </w:p>
    <w:p w14:paraId="23B16717">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本次评选采用经评审的最低投标价法，评选委员会按照本章第二款对报价不高于最高限价的所有竞选人的竞选文件，按照报价由低到高的顺序排序。按照本章第三款进行符合性审查，符合性审查合格的竞选人按报价由低到高推荐中选候选人，或根据比选人授权直接确定中选人。若出现竞选人竞选报价相同的，由评选委员会按照竞选人竞选</w:t>
      </w:r>
      <w:r>
        <w:rPr>
          <w:rFonts w:ascii="宋体" w:cs="Times New Roman"/>
          <w:b/>
          <w:bCs/>
          <w:color w:val="auto"/>
          <w:sz w:val="22"/>
          <w:szCs w:val="22"/>
          <w:highlight w:val="none"/>
          <w:u w:val="single" w:color="000000"/>
        </w:rPr>
        <w:t>业绩金额由大到小的</w:t>
      </w:r>
      <w:r>
        <w:rPr>
          <w:rFonts w:ascii="宋体"/>
          <w:color w:val="auto"/>
          <w:sz w:val="22"/>
          <w:szCs w:val="22"/>
          <w:highlight w:val="none"/>
        </w:rPr>
        <w:t>原则进行排序。</w:t>
      </w:r>
    </w:p>
    <w:p w14:paraId="52852495">
      <w:pPr>
        <w:keepLines/>
        <w:snapToGrid w:val="0"/>
        <w:spacing w:line="540" w:lineRule="exact"/>
        <w:rPr>
          <w:rFonts w:ascii="宋体" w:cs="Times New Roman"/>
          <w:b/>
          <w:bCs/>
          <w:color w:val="auto"/>
          <w:sz w:val="28"/>
          <w:szCs w:val="28"/>
          <w:highlight w:val="none"/>
        </w:rPr>
      </w:pPr>
      <w:r>
        <w:rPr>
          <w:rFonts w:ascii="宋体" w:cs="Times New Roman"/>
          <w:b/>
          <w:bCs/>
          <w:color w:val="auto"/>
          <w:sz w:val="28"/>
          <w:szCs w:val="28"/>
          <w:highlight w:val="none"/>
        </w:rPr>
        <w:t>2、报价排序</w:t>
      </w:r>
    </w:p>
    <w:p w14:paraId="3698F1EC">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对报价不高于最高限价的所有竞选人的竞选文件，按照报价由低到高的顺序排序。</w:t>
      </w:r>
    </w:p>
    <w:p w14:paraId="17EE5BB0">
      <w:pPr>
        <w:keepLines/>
        <w:snapToGrid w:val="0"/>
        <w:spacing w:line="540" w:lineRule="exact"/>
        <w:rPr>
          <w:rFonts w:ascii="宋体" w:cs="Times New Roman"/>
          <w:b/>
          <w:bCs/>
          <w:color w:val="auto"/>
          <w:sz w:val="28"/>
          <w:szCs w:val="28"/>
          <w:highlight w:val="none"/>
        </w:rPr>
      </w:pPr>
      <w:r>
        <w:rPr>
          <w:rFonts w:ascii="宋体" w:cs="Times New Roman"/>
          <w:b/>
          <w:bCs/>
          <w:color w:val="auto"/>
          <w:sz w:val="28"/>
          <w:szCs w:val="28"/>
          <w:highlight w:val="none"/>
        </w:rPr>
        <w:t>3、符合性审查</w:t>
      </w:r>
    </w:p>
    <w:p w14:paraId="4A511584">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取报价排序前3名进行符合性审查。符合性审查内容：资格评审、形式评审、响应性评审、竞选函及竞选报价评审。符合性审查合格的竞选人中，报价最低的成为第一中选候选人，报价次低的成为第二中选候选人，依次类推。</w:t>
      </w:r>
    </w:p>
    <w:p w14:paraId="4CC37C23">
      <w:pPr>
        <w:snapToGrid w:val="0"/>
        <w:spacing w:line="540" w:lineRule="exact"/>
        <w:ind w:firstLine="440" w:firstLineChars="200"/>
        <w:rPr>
          <w:rFonts w:ascii="宋体"/>
          <w:color w:val="auto"/>
          <w:highlight w:val="none"/>
        </w:rPr>
      </w:pPr>
      <w:r>
        <w:rPr>
          <w:rFonts w:ascii="宋体"/>
          <w:color w:val="auto"/>
          <w:sz w:val="22"/>
          <w:szCs w:val="22"/>
          <w:highlight w:val="none"/>
        </w:rPr>
        <w:t>符合性审查中有任何一项不符合要求，符合性审查不合格，由评选委员会作无效处理。</w:t>
      </w:r>
    </w:p>
    <w:p w14:paraId="26BF7DC9">
      <w:pPr>
        <w:keepLines/>
        <w:snapToGrid w:val="0"/>
        <w:spacing w:line="540" w:lineRule="exact"/>
        <w:rPr>
          <w:rFonts w:ascii="宋体" w:cs="Times New Roman"/>
          <w:b/>
          <w:bCs/>
          <w:color w:val="auto"/>
          <w:highlight w:val="none"/>
        </w:rPr>
      </w:pPr>
      <w:r>
        <w:rPr>
          <w:rFonts w:ascii="宋体" w:cs="Times New Roman"/>
          <w:b/>
          <w:bCs/>
          <w:color w:val="auto"/>
          <w:highlight w:val="none"/>
        </w:rPr>
        <w:t>3.1资格评审标准</w:t>
      </w:r>
    </w:p>
    <w:p w14:paraId="5160DD57">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（1）营业执照及资质条件：符合第二章“竞选人须知”第5.1项规定。</w:t>
      </w:r>
    </w:p>
    <w:p w14:paraId="100592F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（2）财务要求：符合第二章“竞选人须知”第5.2项规定。</w:t>
      </w:r>
    </w:p>
    <w:p w14:paraId="5A91A39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（3）业绩要求：符合第二章“竞选人须知”第5.3项规定。</w:t>
      </w:r>
    </w:p>
    <w:p w14:paraId="3211B6C2">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（3）竞选截止日竞选资格情况：符合第二章“竞选人须知”第5.4项规定。</w:t>
      </w:r>
    </w:p>
    <w:p w14:paraId="5F809774">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（4）项目负责人资格要求：符合第二章“竞选人须知”第5.5项规定。</w:t>
      </w:r>
    </w:p>
    <w:p w14:paraId="27E8EE1E">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（5）其他要求：符合第二章“竞选人须知”第5.6项规定。</w:t>
      </w:r>
    </w:p>
    <w:p w14:paraId="0696A7AB">
      <w:pPr>
        <w:keepLines/>
        <w:snapToGrid w:val="0"/>
        <w:spacing w:line="540" w:lineRule="exact"/>
        <w:rPr>
          <w:rFonts w:ascii="宋体" w:cs="Times New Roman"/>
          <w:b/>
          <w:bCs/>
          <w:color w:val="auto"/>
          <w:highlight w:val="none"/>
        </w:rPr>
      </w:pPr>
      <w:r>
        <w:rPr>
          <w:rFonts w:ascii="宋体" w:cs="Times New Roman"/>
          <w:b/>
          <w:bCs/>
          <w:color w:val="auto"/>
          <w:highlight w:val="none"/>
        </w:rPr>
        <w:t>3.2形式评审标准</w:t>
      </w:r>
    </w:p>
    <w:p w14:paraId="3C2FE142">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（1）竞选人名称：与营业执照及资质证书一致，依法变更名称的应提交相应证明材料。</w:t>
      </w:r>
    </w:p>
    <w:p w14:paraId="3B1AD795">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（2）竞选文件格式：符合第六章“竞选文件格式”的要求，字迹清晰可辨。</w:t>
      </w:r>
    </w:p>
    <w:p w14:paraId="1C8D9D1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（3）竞选文件的签署：竞选文件上法定代表人或其委托代理人的签字（或盖章）须齐全。</w:t>
      </w:r>
    </w:p>
    <w:p w14:paraId="4968BD54">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（4）委托代理人：竞选人法定代表人的委托代理人有法定代表人签署的授权委托书和竞选人为其缴纳的养老保险。</w:t>
      </w:r>
    </w:p>
    <w:p w14:paraId="4BDB5F25">
      <w:pPr>
        <w:keepLines/>
        <w:snapToGrid w:val="0"/>
        <w:spacing w:line="540" w:lineRule="exact"/>
        <w:rPr>
          <w:rFonts w:ascii="宋体" w:cs="Times New Roman"/>
          <w:b/>
          <w:bCs/>
          <w:color w:val="auto"/>
          <w:highlight w:val="none"/>
        </w:rPr>
      </w:pPr>
      <w:r>
        <w:rPr>
          <w:rFonts w:ascii="宋体" w:cs="Times New Roman"/>
          <w:b/>
          <w:bCs/>
          <w:color w:val="auto"/>
          <w:highlight w:val="none"/>
        </w:rPr>
        <w:t>3.3响应性评审标准</w:t>
      </w:r>
    </w:p>
    <w:p w14:paraId="605D8BD9">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（1）比选内容：符合第二章“竞选人须知”第4.2项规定。</w:t>
      </w:r>
    </w:p>
    <w:p w14:paraId="47A8384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（2）竞选保证金：符合第二章“竞选人须知”第10.1项规定。</w:t>
      </w:r>
    </w:p>
    <w:p w14:paraId="754094F3">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（3）权利义务：符合第四章“合同条款及格式”规定，竞选文件不应附有比选人不能接受的条件。</w:t>
      </w:r>
    </w:p>
    <w:p w14:paraId="4156C530">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（4）实质性要求：符合第二章“竞选人须知”第20.3项规定。本次竞选不得有串通竞选、弄虚作假等其他违反招投标相关法律、法规行为。按评选委员会要求澄清、说明或补针正。</w:t>
      </w:r>
    </w:p>
    <w:p w14:paraId="07C08D6D">
      <w:pPr>
        <w:keepLines/>
        <w:snapToGrid w:val="0"/>
        <w:spacing w:line="540" w:lineRule="exact"/>
        <w:rPr>
          <w:rFonts w:ascii="宋体" w:cs="Times New Roman"/>
          <w:b/>
          <w:bCs/>
          <w:color w:val="auto"/>
          <w:highlight w:val="none"/>
        </w:rPr>
      </w:pPr>
      <w:r>
        <w:rPr>
          <w:rFonts w:ascii="宋体" w:cs="Times New Roman"/>
          <w:b/>
          <w:bCs/>
          <w:color w:val="auto"/>
          <w:highlight w:val="none"/>
        </w:rPr>
        <w:t>3.4竞选函及竞选报价评审标准</w:t>
      </w:r>
    </w:p>
    <w:p w14:paraId="673A393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（1）竞选函签字盖章：有法定代表人或其委托代理人签字（或盖章）、加盖单位公章。</w:t>
      </w:r>
    </w:p>
    <w:p w14:paraId="0870224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（2）服务期：符合第二章“竞选人须知”第4.3项规定。</w:t>
      </w:r>
    </w:p>
    <w:p w14:paraId="1021370F">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（3）质量要求：符合第二章“竞选人须知”第4.4项规定。</w:t>
      </w:r>
    </w:p>
    <w:p w14:paraId="4A2A2108">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（4）竞选有效期：符合第二章“竞选人须知”第9条规定。</w:t>
      </w:r>
    </w:p>
    <w:p w14:paraId="52F56DD6">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（5）竞选总报价：</w:t>
      </w:r>
    </w:p>
    <w:p w14:paraId="703C9917">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①竞选总报价不得高于比选人公布的竞选总报价最高限价。</w:t>
      </w:r>
    </w:p>
    <w:p w14:paraId="519B2EA8">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②竞选总报价低于最高限价85%的，竞选人应在编制竞选文件时，在竞选函部分中递交递交风险担保提交承诺书。承诺书格式详见第六章竞选文件格式。</w:t>
      </w:r>
    </w:p>
    <w:p w14:paraId="2365DEF8">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（6）报价唯一：只能有一个有效报价。在比选文件没有规定的情况下，不得提交选择性报价。</w:t>
      </w:r>
    </w:p>
    <w:p w14:paraId="7501B797">
      <w:pPr>
        <w:snapToGrid w:val="0"/>
        <w:spacing w:line="540" w:lineRule="exact"/>
        <w:ind w:firstLine="440" w:firstLineChars="200"/>
        <w:rPr>
          <w:rFonts w:ascii="宋体"/>
          <w:color w:val="auto"/>
          <w:highlight w:val="none"/>
        </w:rPr>
      </w:pPr>
      <w:r>
        <w:rPr>
          <w:rFonts w:ascii="宋体"/>
          <w:color w:val="auto"/>
          <w:sz w:val="22"/>
          <w:szCs w:val="22"/>
          <w:highlight w:val="none"/>
        </w:rPr>
        <w:t>（7）竞选报价算术错误修正：符合第三章“评选办法”第5条规定。</w:t>
      </w:r>
    </w:p>
    <w:p w14:paraId="7F044FA1">
      <w:pPr>
        <w:keepLines/>
        <w:snapToGrid w:val="0"/>
        <w:spacing w:line="540" w:lineRule="exact"/>
        <w:rPr>
          <w:rFonts w:ascii="宋体" w:cs="Times New Roman"/>
          <w:b/>
          <w:bCs/>
          <w:color w:val="auto"/>
          <w:highlight w:val="none"/>
        </w:rPr>
      </w:pPr>
      <w:r>
        <w:rPr>
          <w:rFonts w:ascii="宋体" w:cs="Times New Roman"/>
          <w:b/>
          <w:bCs/>
          <w:color w:val="auto"/>
          <w:highlight w:val="none"/>
        </w:rPr>
        <w:t>4、评选程序</w:t>
      </w:r>
    </w:p>
    <w:p w14:paraId="3AC2EF97">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4.1对报价不高于最高限价的所有竞选人的竞选文件，按照报价由低到高的顺序排序。</w:t>
      </w:r>
    </w:p>
    <w:p w14:paraId="6C5350B0">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4.2根据本章第3条约定进行符合性审查。符合性审查合格的竞选人中，报价最低的成为第一中选候选人，报价次低的成为第二中选候选人，依次类推。</w:t>
      </w:r>
    </w:p>
    <w:p w14:paraId="16AFFF7E">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4.3若上述程序未能评出三名中选候选人，则评选委员会对剩余竞选文件继续按上述第4.2条进行评审，直至评出三名中选候选人，或者评审完所有竞选文件。</w:t>
      </w:r>
    </w:p>
    <w:p w14:paraId="7744C25A">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4.4因评选委员会作无效处理，导致有效竞选人不足三个的，评选委员会可以否决所有竞选。但是有效竞选人的经济等指标仍然具有市场竞争力，并满足竞争性竞争性比选文件要求的，评选委员会可以继续评选并确定中选候选人。</w:t>
      </w:r>
    </w:p>
    <w:p w14:paraId="5AE3541A">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注：若出现竞选人竞选报价相同的，由评选委员会按照竞选人竞选</w:t>
      </w:r>
      <w:r>
        <w:rPr>
          <w:rFonts w:ascii="宋体" w:cs="Times New Roman"/>
          <w:b/>
          <w:bCs/>
          <w:color w:val="auto"/>
          <w:sz w:val="22"/>
          <w:szCs w:val="22"/>
          <w:highlight w:val="none"/>
          <w:u w:val="single" w:color="000000"/>
        </w:rPr>
        <w:t>业绩金额由大到小的</w:t>
      </w:r>
      <w:r>
        <w:rPr>
          <w:rFonts w:ascii="宋体"/>
          <w:color w:val="auto"/>
          <w:sz w:val="22"/>
          <w:szCs w:val="22"/>
          <w:highlight w:val="none"/>
        </w:rPr>
        <w:t>原则进行排序。</w:t>
      </w:r>
    </w:p>
    <w:p w14:paraId="501C4C0C">
      <w:pPr>
        <w:keepLines/>
        <w:snapToGrid w:val="0"/>
        <w:spacing w:line="540" w:lineRule="exact"/>
        <w:rPr>
          <w:rFonts w:ascii="宋体" w:cs="Times New Roman"/>
          <w:b/>
          <w:bCs/>
          <w:color w:val="auto"/>
          <w:highlight w:val="none"/>
        </w:rPr>
      </w:pPr>
      <w:r>
        <w:rPr>
          <w:rFonts w:ascii="宋体" w:cs="Times New Roman"/>
          <w:b/>
          <w:bCs/>
          <w:color w:val="auto"/>
          <w:highlight w:val="none"/>
        </w:rPr>
        <w:t>5、竞选报价算术错误修正</w:t>
      </w:r>
    </w:p>
    <w:p w14:paraId="789615CD">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竞选报价由算术错误的，评选委员会按以下原则对竞选报价进行修正，修正的价格经竞选人书面确认后具有约束力，修正原则如下：</w:t>
      </w:r>
    </w:p>
    <w:p w14:paraId="5B3BF58E">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6.1竞选报价中的大写金额与小写金额不一致的，以大写金额为准。</w:t>
      </w:r>
    </w:p>
    <w:p w14:paraId="02CACAFF">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6.2总报价金额与单价（或费率）计算出的结果不一致的，以单价金额（或费率）为准修正总报价，但单价金额小数点有明显错误的除外。</w:t>
      </w:r>
    </w:p>
    <w:p w14:paraId="77790C6B">
      <w:pPr>
        <w:keepLines/>
        <w:snapToGrid w:val="0"/>
        <w:spacing w:line="540" w:lineRule="exact"/>
        <w:rPr>
          <w:rFonts w:ascii="宋体" w:cs="Times New Roman"/>
          <w:b/>
          <w:bCs/>
          <w:color w:val="auto"/>
          <w:highlight w:val="none"/>
        </w:rPr>
      </w:pPr>
      <w:r>
        <w:rPr>
          <w:rFonts w:ascii="宋体" w:cs="Times New Roman"/>
          <w:b/>
          <w:bCs/>
          <w:color w:val="auto"/>
          <w:highlight w:val="none"/>
        </w:rPr>
        <w:t>6、评选结果</w:t>
      </w:r>
    </w:p>
    <w:p w14:paraId="625F1123">
      <w:pPr>
        <w:snapToGrid w:val="0"/>
        <w:spacing w:line="540" w:lineRule="exact"/>
        <w:ind w:firstLine="440" w:firstLineChars="200"/>
        <w:rPr>
          <w:rFonts w:ascii="宋体"/>
          <w:color w:val="auto"/>
          <w:sz w:val="22"/>
          <w:szCs w:val="22"/>
          <w:highlight w:val="none"/>
        </w:rPr>
      </w:pPr>
      <w:r>
        <w:rPr>
          <w:rFonts w:ascii="宋体"/>
          <w:color w:val="auto"/>
          <w:sz w:val="22"/>
          <w:szCs w:val="22"/>
          <w:highlight w:val="none"/>
        </w:rPr>
        <w:t>6.1评选委员会按经评审的最低投标价法推荐中选候选人。</w:t>
      </w:r>
    </w:p>
    <w:p w14:paraId="75DCCA01">
      <w:pPr>
        <w:snapToGrid w:val="0"/>
        <w:spacing w:line="540" w:lineRule="exact"/>
        <w:ind w:firstLine="440" w:firstLineChars="200"/>
        <w:rPr>
          <w:rFonts w:ascii="宋体"/>
          <w:color w:val="auto"/>
          <w:highlight w:val="none"/>
        </w:rPr>
      </w:pPr>
      <w:r>
        <w:rPr>
          <w:rFonts w:ascii="宋体"/>
          <w:color w:val="auto"/>
          <w:sz w:val="22"/>
          <w:szCs w:val="22"/>
          <w:highlight w:val="none"/>
        </w:rPr>
        <w:t>6.2评选委员会完成评选后，应当向比选人提交书面评选报告和中选候选人名单。</w:t>
      </w:r>
    </w:p>
    <w:p w14:paraId="355CCE9C">
      <w:pPr>
        <w:keepLines/>
        <w:snapToGrid w:val="0"/>
        <w:spacing w:line="540" w:lineRule="exact"/>
        <w:rPr>
          <w:rFonts w:ascii="宋体" w:cs="Times New Roman"/>
          <w:b/>
          <w:bCs/>
          <w:color w:val="auto"/>
          <w:sz w:val="28"/>
          <w:szCs w:val="28"/>
          <w:highlight w:val="none"/>
        </w:rPr>
      </w:pPr>
      <w:r>
        <w:rPr>
          <w:rFonts w:ascii="宋体" w:cs="Times New Roman"/>
          <w:b/>
          <w:bCs/>
          <w:color w:val="auto"/>
          <w:sz w:val="28"/>
          <w:szCs w:val="28"/>
          <w:highlight w:val="none"/>
        </w:rPr>
        <w:t>7、无效竞选文件的认定</w:t>
      </w:r>
    </w:p>
    <w:p w14:paraId="7AD72C11">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有下列情况之一者，均视为未响应本项目的竞争性比选文件，由评选委员会作无效处理。</w:t>
      </w:r>
    </w:p>
    <w:p w14:paraId="473C6A97">
      <w:pPr>
        <w:numPr>
          <w:ilvl w:val="0"/>
          <w:numId w:val="4"/>
        </w:numPr>
        <w:snapToGrid w:val="0"/>
        <w:spacing w:line="500" w:lineRule="exact"/>
        <w:ind w:left="0" w:firstLine="440" w:firstLineChars="200"/>
        <w:rPr>
          <w:rFonts w:ascii="宋体"/>
          <w:color w:val="auto"/>
          <w:sz w:val="22"/>
          <w:szCs w:val="22"/>
          <w:highlight w:val="none"/>
        </w:rPr>
      </w:pPr>
      <w:r>
        <w:rPr>
          <w:rFonts w:ascii="宋体"/>
          <w:color w:val="auto"/>
          <w:sz w:val="22"/>
          <w:szCs w:val="22"/>
          <w:highlight w:val="none"/>
        </w:rPr>
        <w:t>竞选文件没有按竞争性比选文件要求加盖竞选人单位公章的；</w:t>
      </w:r>
    </w:p>
    <w:p w14:paraId="38C8233F">
      <w:pPr>
        <w:numPr>
          <w:ilvl w:val="0"/>
          <w:numId w:val="4"/>
        </w:numPr>
        <w:snapToGrid w:val="0"/>
        <w:spacing w:line="500" w:lineRule="exact"/>
        <w:ind w:left="0" w:firstLine="440" w:firstLineChars="200"/>
        <w:rPr>
          <w:rFonts w:ascii="宋体"/>
          <w:color w:val="auto"/>
          <w:sz w:val="22"/>
          <w:szCs w:val="22"/>
          <w:highlight w:val="none"/>
        </w:rPr>
      </w:pPr>
      <w:r>
        <w:rPr>
          <w:rFonts w:ascii="宋体"/>
          <w:color w:val="auto"/>
          <w:sz w:val="22"/>
          <w:szCs w:val="22"/>
          <w:highlight w:val="none"/>
        </w:rPr>
        <w:t>未按竞争性比选文件要求按时递交竞选保证金的；</w:t>
      </w:r>
    </w:p>
    <w:p w14:paraId="74C2AF5C">
      <w:pPr>
        <w:numPr>
          <w:ilvl w:val="0"/>
          <w:numId w:val="4"/>
        </w:numPr>
        <w:snapToGrid w:val="0"/>
        <w:spacing w:line="500" w:lineRule="exact"/>
        <w:ind w:left="0" w:firstLine="440" w:firstLineChars="200"/>
        <w:rPr>
          <w:rFonts w:ascii="宋体"/>
          <w:color w:val="auto"/>
          <w:sz w:val="22"/>
          <w:szCs w:val="22"/>
          <w:highlight w:val="none"/>
        </w:rPr>
      </w:pPr>
      <w:r>
        <w:rPr>
          <w:rFonts w:ascii="宋体"/>
          <w:color w:val="auto"/>
          <w:sz w:val="22"/>
          <w:szCs w:val="22"/>
          <w:highlight w:val="none"/>
        </w:rPr>
        <w:t>竞选文件未按竞争性比选文件规定的格式和要求填写、编制，内容不全或者关键内容字迹模糊、无法辨认的。</w:t>
      </w:r>
    </w:p>
    <w:p w14:paraId="3EBDF0B6">
      <w:pPr>
        <w:snapToGrid w:val="0"/>
        <w:spacing w:line="500" w:lineRule="exact"/>
        <w:ind w:firstLine="440" w:firstLineChars="200"/>
        <w:rPr>
          <w:rFonts w:ascii="宋体"/>
          <w:color w:val="auto"/>
          <w:highlight w:val="none"/>
        </w:rPr>
      </w:pPr>
      <w:r>
        <w:rPr>
          <w:rFonts w:ascii="宋体"/>
          <w:color w:val="auto"/>
          <w:sz w:val="22"/>
          <w:szCs w:val="22"/>
          <w:highlight w:val="none"/>
        </w:rPr>
        <w:t>（4）竞选文件中的竞选报价高于比选人公布的最高限价。</w:t>
      </w:r>
    </w:p>
    <w:p w14:paraId="53892A7C">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（5）竞选人填报的服务期超过竞争性比选文件规定服务期的；</w:t>
      </w:r>
    </w:p>
    <w:p w14:paraId="4956131E">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（6）竞争性比选文件中要求的竞选文件的几个组成部分的任一部分被认定为无效的；</w:t>
      </w:r>
    </w:p>
    <w:p w14:paraId="3D8692D1">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（7）竞选文件中未按竞争性比选文件要求提供承诺或提供虚假资料的。</w:t>
      </w:r>
    </w:p>
    <w:p w14:paraId="21F97842">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（8）竞选文件附有比选人不能接受的条件的；</w:t>
      </w:r>
    </w:p>
    <w:p w14:paraId="50675D55">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（9）竞争性比选文件中规定的其它无效条款。</w:t>
      </w:r>
    </w:p>
    <w:p w14:paraId="189190A4">
      <w:pPr>
        <w:snapToGrid w:val="0"/>
        <w:spacing w:line="500" w:lineRule="exact"/>
        <w:ind w:firstLine="440" w:firstLineChars="200"/>
        <w:rPr>
          <w:rFonts w:ascii="宋体"/>
          <w:color w:val="auto"/>
          <w:sz w:val="22"/>
          <w:szCs w:val="22"/>
          <w:highlight w:val="none"/>
        </w:rPr>
      </w:pPr>
      <w:r>
        <w:rPr>
          <w:rFonts w:ascii="宋体"/>
          <w:color w:val="auto"/>
          <w:sz w:val="22"/>
          <w:szCs w:val="22"/>
          <w:highlight w:val="none"/>
        </w:rPr>
        <w:t>注：竞选人的竞选条件优于竞争性比选文件规定，不得作为无效处理。</w:t>
      </w:r>
    </w:p>
    <w:p w14:paraId="6DCA2AE6">
      <w:pPr>
        <w:snapToGrid w:val="0"/>
        <w:spacing w:line="240" w:lineRule="exact"/>
        <w:rPr>
          <w:rFonts w:ascii="宋体"/>
          <w:color w:val="auto"/>
          <w:highlight w:val="none"/>
        </w:rPr>
      </w:pPr>
      <w:r>
        <w:rPr>
          <w:rFonts w:ascii="宋体"/>
          <w:color w:val="auto"/>
          <w:highlight w:val="none"/>
        </w:rPr>
        <w:br w:type="page"/>
      </w:r>
    </w:p>
    <w:p w14:paraId="214E1EFE">
      <w:pPr>
        <w:snapToGrid w:val="0"/>
        <w:spacing w:line="240" w:lineRule="exact"/>
        <w:rPr>
          <w:rFonts w:ascii="宋体"/>
          <w:color w:val="auto"/>
          <w:highlight w:val="none"/>
        </w:rPr>
      </w:pPr>
    </w:p>
    <w:p w14:paraId="6F8F1967">
      <w:pPr>
        <w:pStyle w:val="11"/>
        <w:snapToGrid w:val="0"/>
        <w:spacing w:line="460" w:lineRule="exact"/>
        <w:jc w:val="center"/>
        <w:rPr>
          <w:rFonts w:ascii="黑体" w:eastAsia="黑体"/>
          <w:bCs w:val="0"/>
          <w:color w:val="auto"/>
          <w:kern w:val="2"/>
          <w:highlight w:val="none"/>
        </w:rPr>
      </w:pPr>
      <w:r>
        <w:rPr>
          <w:rFonts w:ascii="黑体" w:eastAsia="黑体"/>
          <w:bCs w:val="0"/>
          <w:color w:val="auto"/>
          <w:kern w:val="2"/>
          <w:highlight w:val="none"/>
        </w:rPr>
        <w:t>第四章 合同条款及格式</w:t>
      </w:r>
    </w:p>
    <w:p w14:paraId="7A750701">
      <w:pPr>
        <w:snapToGrid w:val="0"/>
        <w:rPr>
          <w:rFonts w:ascii="宋体" w:cs="Times New Roman"/>
          <w:b/>
          <w:bCs/>
          <w:color w:val="auto"/>
          <w:highlight w:val="none"/>
        </w:rPr>
      </w:pPr>
      <w:r>
        <w:rPr>
          <w:rFonts w:ascii="宋体" w:cs="Times New Roman"/>
          <w:b/>
          <w:bCs/>
          <w:color w:val="auto"/>
          <w:highlight w:val="none"/>
        </w:rPr>
        <w:br w:type="page"/>
      </w:r>
    </w:p>
    <w:p w14:paraId="667A67B6">
      <w:pPr>
        <w:snapToGrid w:val="0"/>
        <w:rPr>
          <w:rFonts w:ascii="宋体" w:cs="Times New Roman"/>
          <w:b/>
          <w:bCs/>
          <w:color w:val="auto"/>
          <w:highlight w:val="none"/>
        </w:rPr>
      </w:pPr>
    </w:p>
    <w:p w14:paraId="2EDABAE1">
      <w:pPr>
        <w:snapToGrid w:val="0"/>
        <w:jc w:val="center"/>
        <w:rPr>
          <w:rFonts w:hint="eastAsia" w:ascii="宋体" w:cs="宋体"/>
          <w:b/>
          <w:bCs/>
          <w:color w:val="auto"/>
          <w:spacing w:val="-2"/>
          <w:sz w:val="36"/>
          <w:szCs w:val="36"/>
          <w:highlight w:val="none"/>
          <w:lang w:eastAsia="zh-CN"/>
        </w:rPr>
      </w:pPr>
      <w:r>
        <w:rPr>
          <w:rFonts w:hint="eastAsia" w:ascii="宋体" w:cs="宋体"/>
          <w:b/>
          <w:bCs/>
          <w:color w:val="auto"/>
          <w:spacing w:val="-2"/>
          <w:sz w:val="36"/>
          <w:szCs w:val="36"/>
          <w:highlight w:val="none"/>
          <w:lang w:eastAsia="zh-CN"/>
        </w:rPr>
        <w:t>西永综保区进口整车展示及存储中心及周边配套工程—广达生活区A线道路东延段工程</w:t>
      </w:r>
    </w:p>
    <w:p w14:paraId="18C2F8AF">
      <w:pPr>
        <w:snapToGrid w:val="0"/>
        <w:jc w:val="center"/>
        <w:rPr>
          <w:rFonts w:ascii="宋体" w:cs="宋体"/>
          <w:b/>
          <w:bCs/>
          <w:color w:val="auto"/>
          <w:spacing w:val="9"/>
          <w:sz w:val="36"/>
          <w:szCs w:val="36"/>
          <w:highlight w:val="none"/>
        </w:rPr>
      </w:pPr>
      <w:r>
        <w:rPr>
          <w:rFonts w:hint="eastAsia" w:ascii="宋体" w:cs="宋体"/>
          <w:b/>
          <w:bCs/>
          <w:color w:val="auto"/>
          <w:spacing w:val="-2"/>
          <w:sz w:val="36"/>
          <w:szCs w:val="36"/>
          <w:highlight w:val="none"/>
          <w:lang w:eastAsia="zh-CN"/>
        </w:rPr>
        <w:t>第三方涉轨监测</w:t>
      </w:r>
      <w:r>
        <w:rPr>
          <w:rFonts w:ascii="宋体" w:cs="宋体"/>
          <w:b/>
          <w:bCs/>
          <w:color w:val="auto"/>
          <w:spacing w:val="-2"/>
          <w:sz w:val="36"/>
          <w:szCs w:val="36"/>
          <w:highlight w:val="none"/>
        </w:rPr>
        <w:t>合同</w:t>
      </w:r>
    </w:p>
    <w:p w14:paraId="46948B3A">
      <w:pPr>
        <w:snapToGrid w:val="0"/>
        <w:spacing w:line="500" w:lineRule="exact"/>
        <w:ind w:firstLine="480" w:firstLineChars="200"/>
        <w:rPr>
          <w:rFonts w:ascii="宋体"/>
          <w:color w:val="auto"/>
          <w:szCs w:val="21"/>
          <w:highlight w:val="none"/>
        </w:rPr>
      </w:pPr>
    </w:p>
    <w:p w14:paraId="340C06AA">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委托方</w:t>
      </w:r>
      <w:r>
        <w:rPr>
          <w:rFonts w:hint="eastAsia" w:ascii="宋体"/>
          <w:color w:val="auto"/>
          <w:sz w:val="22"/>
          <w:szCs w:val="22"/>
          <w:highlight w:val="none"/>
        </w:rPr>
        <w:t>：</w:t>
      </w:r>
      <w:bookmarkStart w:id="1" w:name="_Hlk159505439"/>
    </w:p>
    <w:bookmarkEnd w:id="1"/>
    <w:p w14:paraId="737732B0">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重庆西永微电子产业园区开发有限公司（项目业主）</w:t>
      </w:r>
    </w:p>
    <w:p w14:paraId="059239BE">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重庆科学城城市建设集团有限公司（代理业主）</w:t>
      </w:r>
    </w:p>
    <w:p w14:paraId="33612262">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承担方：</w:t>
      </w:r>
    </w:p>
    <w:p w14:paraId="453FFC0F">
      <w:pPr>
        <w:snapToGrid w:val="0"/>
        <w:spacing w:line="560" w:lineRule="exact"/>
        <w:ind w:firstLine="440" w:firstLineChars="200"/>
        <w:rPr>
          <w:rFonts w:hint="eastAsia" w:ascii="宋体"/>
          <w:color w:val="auto"/>
          <w:sz w:val="22"/>
          <w:szCs w:val="22"/>
          <w:highlight w:val="none"/>
        </w:rPr>
      </w:pPr>
      <w:bookmarkStart w:id="2" w:name="_Hlk159506835"/>
      <w:r>
        <w:rPr>
          <w:rFonts w:ascii="宋体"/>
          <w:color w:val="auto"/>
          <w:sz w:val="22"/>
          <w:szCs w:val="22"/>
          <w:highlight w:val="none"/>
          <w:lang w:eastAsia="zh-CN"/>
        </w:rPr>
        <w:t>重庆西永微电子产业园区开发有限公司（项目业主）、重庆科学城城市建设集团有限公司（代理业主）</w:t>
      </w:r>
      <w:bookmarkEnd w:id="2"/>
      <w:r>
        <w:rPr>
          <w:rFonts w:ascii="宋体"/>
          <w:color w:val="auto"/>
          <w:sz w:val="22"/>
          <w:szCs w:val="22"/>
          <w:highlight w:val="none"/>
        </w:rPr>
        <w:t>（以下简称委托方）就</w:t>
      </w:r>
      <w:r>
        <w:rPr>
          <w:rFonts w:hint="eastAsia" w:ascii="宋体"/>
          <w:color w:val="auto"/>
          <w:sz w:val="22"/>
          <w:szCs w:val="22"/>
          <w:highlight w:val="none"/>
          <w:lang w:val="en-US" w:eastAsia="zh-CN"/>
        </w:rPr>
        <w:t>西永综保区进口整车展示及存储中心及周边配套工程—广达生活区A线道路东延段工程第三方涉轨监测</w:t>
      </w:r>
      <w:r>
        <w:rPr>
          <w:rFonts w:ascii="宋体"/>
          <w:color w:val="auto"/>
          <w:sz w:val="22"/>
          <w:szCs w:val="22"/>
          <w:highlight w:val="none"/>
        </w:rPr>
        <w:t>，通过公开比选方式，确定由××公司 (以下简称承担方)承担。根据《中华人民共和国民法典》、《中华人民共和国建筑法》及国家有关法律、法规规定，结合本工程具体情况，遵循平等、自愿、公平和诚实信用的原则，经双方协商一致，签订本合同，双方共同遵守。</w:t>
      </w:r>
    </w:p>
    <w:p w14:paraId="04888661">
      <w:pPr>
        <w:snapToGrid w:val="0"/>
        <w:spacing w:before="10" w:line="560" w:lineRule="exact"/>
        <w:rPr>
          <w:rFonts w:ascii="宋体" w:cs="宋体"/>
          <w:b/>
          <w:bCs/>
          <w:color w:val="auto"/>
          <w:sz w:val="22"/>
          <w:szCs w:val="22"/>
          <w:highlight w:val="none"/>
        </w:rPr>
      </w:pPr>
      <w:r>
        <w:rPr>
          <w:rFonts w:ascii="宋体" w:cs="宋体"/>
          <w:b/>
          <w:bCs/>
          <w:color w:val="auto"/>
          <w:spacing w:val="6"/>
          <w:sz w:val="22"/>
          <w:szCs w:val="22"/>
          <w:highlight w:val="none"/>
        </w:rPr>
        <w:t>第一条 工程概况</w:t>
      </w:r>
    </w:p>
    <w:p w14:paraId="7D06E3C7">
      <w:pPr>
        <w:snapToGrid w:val="0"/>
        <w:spacing w:line="560" w:lineRule="exact"/>
        <w:ind w:firstLine="440" w:firstLineChars="200"/>
        <w:rPr>
          <w:rFonts w:hint="eastAsia" w:ascii="宋体" w:eastAsia="宋体"/>
          <w:color w:val="auto"/>
          <w:sz w:val="22"/>
          <w:szCs w:val="22"/>
          <w:highlight w:val="none"/>
          <w:lang w:eastAsia="zh-CN"/>
        </w:rPr>
      </w:pPr>
      <w:r>
        <w:rPr>
          <w:rFonts w:ascii="宋体"/>
          <w:color w:val="auto"/>
          <w:sz w:val="22"/>
          <w:szCs w:val="22"/>
          <w:highlight w:val="none"/>
        </w:rPr>
        <w:t>1.1项目名称：</w:t>
      </w:r>
      <w:r>
        <w:rPr>
          <w:rFonts w:hint="eastAsia" w:ascii="宋体"/>
          <w:color w:val="auto"/>
          <w:sz w:val="22"/>
          <w:szCs w:val="22"/>
          <w:highlight w:val="none"/>
          <w:lang w:eastAsia="zh-CN"/>
        </w:rPr>
        <w:t>西永综保区进口整车展示及存储中心及周边配套工程—广达生活区A线道路东延段工程第三方涉轨监测</w:t>
      </w:r>
    </w:p>
    <w:p w14:paraId="6B001110">
      <w:pPr>
        <w:snapToGrid w:val="0"/>
        <w:spacing w:line="560" w:lineRule="exact"/>
        <w:ind w:firstLine="440" w:firstLineChars="200"/>
        <w:rPr>
          <w:rFonts w:hint="eastAsia" w:ascii="宋体"/>
          <w:color w:val="auto"/>
          <w:sz w:val="22"/>
          <w:szCs w:val="22"/>
          <w:highlight w:val="none"/>
          <w:lang w:val="en-US" w:eastAsia="zh-CN"/>
        </w:rPr>
      </w:pPr>
      <w:r>
        <w:rPr>
          <w:rFonts w:ascii="宋体"/>
          <w:color w:val="auto"/>
          <w:sz w:val="22"/>
          <w:szCs w:val="22"/>
          <w:highlight w:val="none"/>
        </w:rPr>
        <w:t>1.2工程建设规模及内容：</w:t>
      </w:r>
      <w:r>
        <w:rPr>
          <w:rFonts w:hint="eastAsia" w:ascii="宋体" w:eastAsia="宋体" w:cs="Arial"/>
          <w:color w:val="auto"/>
          <w:kern w:val="0"/>
          <w:sz w:val="22"/>
          <w:szCs w:val="22"/>
          <w:highlight w:val="none"/>
          <w:lang w:val="en-US" w:eastAsia="zh-CN"/>
        </w:rPr>
        <w:t>西永综合保税区进口整车展示存储中心及周边配套工程-广达生活区 A 线道路东延段工程全长约 840 米，道路等级为城市主干道，双向六车道，标准路幅宽度为 38m。包括但不限于海绵城市、沿线包含一条全长约 1.66km 的电力隧道、岩土工程、交通工程、照明工程、景观工程等。</w:t>
      </w:r>
      <w:r>
        <w:rPr>
          <w:rFonts w:hint="eastAsia" w:ascii="宋体"/>
          <w:color w:val="auto"/>
          <w:sz w:val="22"/>
          <w:szCs w:val="22"/>
          <w:highlight w:val="none"/>
          <w:lang w:val="en-US" w:eastAsia="zh-CN"/>
        </w:rPr>
        <w:t>根据重庆市城乡建设委员会《重庆市轨道交通控制保护区管理办法》(渝建发〔2018〕295号)</w:t>
      </w:r>
      <w:r>
        <w:rPr>
          <w:rFonts w:ascii="宋体"/>
          <w:color w:val="auto"/>
          <w:sz w:val="22"/>
          <w:szCs w:val="22"/>
          <w:highlight w:val="none"/>
          <w:lang w:val="en-US" w:eastAsia="zh-CN"/>
        </w:rPr>
        <w:t>等</w:t>
      </w:r>
      <w:r>
        <w:rPr>
          <w:rFonts w:hint="eastAsia" w:ascii="宋体"/>
          <w:color w:val="auto"/>
          <w:sz w:val="22"/>
          <w:szCs w:val="22"/>
          <w:highlight w:val="none"/>
          <w:lang w:val="en-US" w:eastAsia="zh-CN"/>
        </w:rPr>
        <w:t>规定：在轨道控制保护区范围内的建设项目，项目建设单位应在项目开工前会同轨道交通建设或运营单位制定对轨道交通设施的安全保护方案，并按规定委托具有相应资质的第三方监测机构就项目建设对轨道交通设施影响编制第三方监测方案。</w:t>
      </w:r>
      <w:r>
        <w:rPr>
          <w:rFonts w:ascii="宋体"/>
          <w:color w:val="auto"/>
          <w:sz w:val="22"/>
          <w:szCs w:val="22"/>
          <w:highlight w:val="none"/>
        </w:rPr>
        <w:t xml:space="preserve"> </w:t>
      </w:r>
    </w:p>
    <w:p w14:paraId="192FC22C">
      <w:pPr>
        <w:snapToGrid w:val="0"/>
        <w:spacing w:line="560" w:lineRule="exact"/>
        <w:ind w:firstLine="1"/>
        <w:rPr>
          <w:rFonts w:ascii="宋体" w:cs="宋体"/>
          <w:b/>
          <w:bCs/>
          <w:color w:val="auto"/>
          <w:spacing w:val="6"/>
          <w:sz w:val="22"/>
          <w:szCs w:val="22"/>
          <w:highlight w:val="none"/>
        </w:rPr>
      </w:pPr>
      <w:r>
        <w:rPr>
          <w:rFonts w:ascii="宋体" w:cs="宋体"/>
          <w:b/>
          <w:bCs/>
          <w:color w:val="auto"/>
          <w:spacing w:val="6"/>
          <w:sz w:val="22"/>
          <w:szCs w:val="22"/>
          <w:highlight w:val="none"/>
        </w:rPr>
        <w:t>第二条 工作内容及工期</w:t>
      </w:r>
    </w:p>
    <w:p w14:paraId="2A01DCC5">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2.1内容：</w:t>
      </w:r>
      <w:r>
        <w:rPr>
          <w:rFonts w:hint="eastAsia" w:ascii="宋体"/>
          <w:color w:val="auto"/>
          <w:sz w:val="22"/>
          <w:szCs w:val="22"/>
          <w:highlight w:val="none"/>
        </w:rPr>
        <w:t>完成本项目建设范围内的</w:t>
      </w:r>
      <w:r>
        <w:rPr>
          <w:rFonts w:ascii="宋体"/>
          <w:color w:val="auto"/>
          <w:sz w:val="22"/>
          <w:szCs w:val="22"/>
          <w:highlight w:val="none"/>
        </w:rPr>
        <w:t>涉轨</w:t>
      </w:r>
      <w:r>
        <w:rPr>
          <w:rFonts w:hint="eastAsia" w:ascii="宋体"/>
          <w:color w:val="auto"/>
          <w:sz w:val="22"/>
          <w:szCs w:val="22"/>
          <w:highlight w:val="none"/>
        </w:rPr>
        <w:t>监测服务工作</w:t>
      </w:r>
      <w:r>
        <w:rPr>
          <w:rFonts w:ascii="宋体"/>
          <w:color w:val="auto"/>
          <w:sz w:val="22"/>
          <w:szCs w:val="22"/>
          <w:highlight w:val="none"/>
        </w:rPr>
        <w:t>，以及国家标准和地方规范要求必须监测的内容，</w:t>
      </w:r>
      <w:r>
        <w:rPr>
          <w:rFonts w:ascii="宋体"/>
          <w:color w:val="auto"/>
          <w:sz w:val="22"/>
          <w:szCs w:val="22"/>
          <w:highlight w:val="none"/>
        </w:rPr>
        <w:t>对</w:t>
      </w:r>
      <w:r>
        <w:rPr>
          <w:rFonts w:hint="eastAsia" w:ascii="宋体" w:eastAsia="宋体"/>
          <w:bCs/>
          <w:color w:val="auto"/>
          <w:sz w:val="22"/>
          <w:szCs w:val="22"/>
          <w:highlight w:val="none"/>
        </w:rPr>
        <w:t>轨道交通结构设施、围（支）护结构体系、地下水、周边环境及岩土体等的变化情况按一定的周期进行量测、巡查、分析和反馈监测成果</w:t>
      </w:r>
      <w:r>
        <w:rPr>
          <w:rFonts w:ascii="宋体"/>
          <w:bCs/>
          <w:color w:val="auto"/>
          <w:sz w:val="22"/>
          <w:szCs w:val="22"/>
          <w:highlight w:val="none"/>
        </w:rPr>
        <w:t>，</w:t>
      </w:r>
      <w:r>
        <w:rPr>
          <w:rFonts w:ascii="宋体"/>
          <w:color w:val="auto"/>
          <w:sz w:val="21"/>
          <w:szCs w:val="21"/>
          <w:highlight w:val="none"/>
        </w:rPr>
        <w:t>以</w:t>
      </w:r>
      <w:r>
        <w:rPr>
          <w:rFonts w:ascii="宋体"/>
          <w:color w:val="auto"/>
          <w:sz w:val="22"/>
          <w:szCs w:val="22"/>
          <w:highlight w:val="none"/>
        </w:rPr>
        <w:t>及国家标准和地方规范要求必须监测的内容，</w:t>
      </w:r>
      <w:r>
        <w:rPr>
          <w:rFonts w:hint="eastAsia" w:ascii="宋体"/>
          <w:color w:val="auto"/>
          <w:sz w:val="22"/>
          <w:szCs w:val="22"/>
          <w:highlight w:val="none"/>
        </w:rPr>
        <w:t>包</w:t>
      </w:r>
      <w:r>
        <w:rPr>
          <w:rFonts w:ascii="宋体"/>
          <w:color w:val="auto"/>
          <w:sz w:val="22"/>
          <w:szCs w:val="22"/>
          <w:highlight w:val="none"/>
        </w:rPr>
        <w:t>含但不限于现状摸排、基准网建立及观测、</w:t>
      </w:r>
      <w:r>
        <w:rPr>
          <w:rFonts w:ascii="宋体"/>
          <w:color w:val="auto"/>
          <w:sz w:val="22"/>
          <w:szCs w:val="22"/>
          <w:highlight w:val="none"/>
        </w:rPr>
        <w:t>水平及竖向位移、结构监测、净空收敛、倾斜、裂缝测量、宏观巡查、仪器设备安设、方案编制及审查、其他技术工作等以及其他全部相关工作</w:t>
      </w:r>
      <w:r>
        <w:rPr>
          <w:rFonts w:ascii="宋体"/>
          <w:color w:val="auto"/>
          <w:sz w:val="22"/>
          <w:szCs w:val="22"/>
          <w:highlight w:val="none"/>
        </w:rPr>
        <w:t>，前述监测内容并非完全列举，具体监测范围及要求应符合强制性质量标准，符合国家、重庆市相关法律法规、技术标准、规范、规程以及设计要求，并达到验收合格标准。 竞选人应当根据施工图及工程施工现场需要编制监测方案，合理布置监测点位、监测内容及监测频率等。（注：竞选人以实现监测效果，确保工程施工安全为目的，根据相关文件要求自行编制监测方案，实施、完善监测点设置，合理调整监测频率和监测期数，满足相关规范要求，并按实结算）。具体包含按国家相关规范及设计要求完成施工图范围内的所有内容、比选文件、比选文件补遗、答疑、澄清中补充的全部工程内容及其它保证施工顺利进行的各种协调工作等。</w:t>
      </w:r>
    </w:p>
    <w:p w14:paraId="4BB1F6FE">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2.2工期</w:t>
      </w:r>
    </w:p>
    <w:p w14:paraId="4E329DD2">
      <w:pPr>
        <w:snapToGrid w:val="0"/>
        <w:spacing w:line="560" w:lineRule="exact"/>
        <w:ind w:firstLine="440" w:firstLineChars="200"/>
        <w:rPr>
          <w:rFonts w:ascii="宋体" w:eastAsia="宋体" w:cs="Arial"/>
          <w:color w:val="auto"/>
          <w:spacing w:val="0"/>
          <w:sz w:val="22"/>
          <w:szCs w:val="22"/>
          <w:highlight w:val="none"/>
        </w:rPr>
      </w:pPr>
      <w:r>
        <w:rPr>
          <w:rFonts w:ascii="宋体"/>
          <w:color w:val="auto"/>
          <w:sz w:val="22"/>
          <w:szCs w:val="22"/>
          <w:highlight w:val="none"/>
        </w:rPr>
        <w:t>2.2.1服务期：</w:t>
      </w:r>
      <w:r>
        <w:rPr>
          <w:rFonts w:hint="eastAsia" w:ascii="宋体"/>
          <w:color w:val="auto"/>
          <w:sz w:val="22"/>
          <w:szCs w:val="22"/>
          <w:highlight w:val="none"/>
        </w:rPr>
        <w:t>完成项目施工阶段、竣完工验收阶段</w:t>
      </w:r>
      <w:r>
        <w:rPr>
          <w:rFonts w:ascii="宋体"/>
          <w:color w:val="auto"/>
          <w:sz w:val="22"/>
          <w:szCs w:val="22"/>
          <w:highlight w:val="none"/>
        </w:rPr>
        <w:t>、</w:t>
      </w:r>
      <w:r>
        <w:rPr>
          <w:rFonts w:hint="eastAsia" w:ascii="宋体"/>
          <w:color w:val="auto"/>
          <w:sz w:val="22"/>
          <w:szCs w:val="22"/>
          <w:highlight w:val="none"/>
        </w:rPr>
        <w:t>缺陷责任期</w:t>
      </w:r>
      <w:r>
        <w:rPr>
          <w:rFonts w:ascii="宋体"/>
          <w:color w:val="auto"/>
          <w:sz w:val="22"/>
          <w:szCs w:val="22"/>
          <w:highlight w:val="none"/>
        </w:rPr>
        <w:t>以及轨道运营期限1年内</w:t>
      </w:r>
      <w:r>
        <w:rPr>
          <w:rFonts w:hint="eastAsia" w:ascii="宋体"/>
          <w:color w:val="auto"/>
          <w:sz w:val="22"/>
          <w:szCs w:val="22"/>
          <w:highlight w:val="none"/>
        </w:rPr>
        <w:t>应进行</w:t>
      </w:r>
      <w:r>
        <w:rPr>
          <w:rFonts w:ascii="宋体"/>
          <w:color w:val="auto"/>
          <w:sz w:val="22"/>
          <w:szCs w:val="22"/>
          <w:highlight w:val="none"/>
        </w:rPr>
        <w:t>涉轨</w:t>
      </w:r>
      <w:r>
        <w:rPr>
          <w:rFonts w:hint="eastAsia" w:ascii="宋体"/>
          <w:color w:val="auto"/>
          <w:sz w:val="22"/>
          <w:szCs w:val="22"/>
          <w:highlight w:val="none"/>
        </w:rPr>
        <w:t>监测的全部服务。其中，施工工期暂定</w:t>
      </w:r>
      <w:r>
        <w:rPr>
          <w:rFonts w:ascii="宋体"/>
          <w:color w:val="auto"/>
          <w:sz w:val="22"/>
          <w:szCs w:val="22"/>
          <w:highlight w:val="none"/>
          <w:lang w:val="en-US" w:eastAsia="zh-CN"/>
        </w:rPr>
        <w:t>540</w:t>
      </w:r>
      <w:r>
        <w:rPr>
          <w:rFonts w:hint="eastAsia" w:ascii="宋体"/>
          <w:color w:val="auto"/>
          <w:sz w:val="22"/>
          <w:szCs w:val="22"/>
          <w:highlight w:val="none"/>
        </w:rPr>
        <w:t>日历天（具体以施工项目实际开工，竣工验收之日为准，监测服务期以实际工期为准），缺陷责任期24个月</w:t>
      </w:r>
      <w:r>
        <w:rPr>
          <w:rFonts w:ascii="宋体"/>
          <w:color w:val="auto"/>
          <w:sz w:val="22"/>
          <w:szCs w:val="22"/>
          <w:highlight w:val="none"/>
        </w:rPr>
        <w:t>，轨道运营期限1年（以轨道实际开始运营起始时间为准计算1年）。</w:t>
      </w:r>
      <w:r>
        <w:rPr>
          <w:rFonts w:hint="eastAsia" w:ascii="宋体"/>
          <w:color w:val="auto"/>
          <w:sz w:val="22"/>
          <w:szCs w:val="22"/>
          <w:highlight w:val="none"/>
        </w:rPr>
        <w:t>具体监测开始时间以委托方通知为准，承担方未经委托方允许擅自开工监测的，委托方不予认可。承担方应在监测工期内向委托方提交</w:t>
      </w:r>
      <w:r>
        <w:rPr>
          <w:rFonts w:ascii="宋体"/>
          <w:color w:val="auto"/>
          <w:sz w:val="22"/>
          <w:szCs w:val="22"/>
          <w:highlight w:val="none"/>
        </w:rPr>
        <w:t>经轨道产权单位及相关主管部门（如有）审批通过的</w:t>
      </w:r>
      <w:r>
        <w:rPr>
          <w:rFonts w:hint="eastAsia" w:ascii="宋体"/>
          <w:color w:val="auto"/>
          <w:sz w:val="22"/>
          <w:szCs w:val="22"/>
          <w:highlight w:val="none"/>
        </w:rPr>
        <w:t>监测</w:t>
      </w:r>
      <w:r>
        <w:rPr>
          <w:rFonts w:ascii="宋体"/>
          <w:color w:val="auto"/>
          <w:sz w:val="22"/>
          <w:szCs w:val="22"/>
          <w:highlight w:val="none"/>
        </w:rPr>
        <w:t>方案，</w:t>
      </w:r>
      <w:r>
        <w:rPr>
          <w:rFonts w:hint="eastAsia" w:ascii="宋体"/>
          <w:color w:val="auto"/>
          <w:sz w:val="22"/>
          <w:szCs w:val="22"/>
          <w:highlight w:val="none"/>
        </w:rPr>
        <w:t>监测频率按有关规定执行</w:t>
      </w:r>
      <w:r>
        <w:rPr>
          <w:rFonts w:ascii="宋体"/>
          <w:color w:val="auto"/>
          <w:sz w:val="22"/>
          <w:szCs w:val="22"/>
          <w:highlight w:val="none"/>
        </w:rPr>
        <w:t>及</w:t>
      </w:r>
      <w:r>
        <w:rPr>
          <w:rFonts w:hint="eastAsia" w:ascii="宋体"/>
          <w:color w:val="auto"/>
          <w:sz w:val="22"/>
          <w:szCs w:val="22"/>
          <w:highlight w:val="none"/>
        </w:rPr>
        <w:t>批准的监测方案执行</w:t>
      </w:r>
      <w:r>
        <w:rPr>
          <w:rFonts w:ascii="宋体"/>
          <w:color w:val="auto"/>
          <w:sz w:val="22"/>
          <w:szCs w:val="22"/>
          <w:highlight w:val="none"/>
        </w:rPr>
        <w:t>，并向委托方提供满足规范要求的监测报告</w:t>
      </w:r>
      <w:r>
        <w:rPr>
          <w:rFonts w:hint="eastAsia" w:ascii="宋体"/>
          <w:color w:val="auto"/>
          <w:sz w:val="22"/>
          <w:szCs w:val="22"/>
          <w:highlight w:val="none"/>
        </w:rPr>
        <w:t>。</w:t>
      </w:r>
    </w:p>
    <w:p w14:paraId="11D658CD">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2.2.2 承担方必须根据委托方工程的进度，合理安排监测，不得影响总包工程的施工进度。承担方根据工程进度需求，在接到委托方或施工方通知之日起1天内需开展相关工程监测工作。承担方应在接到委托方或施工方通知之日起20日内完成监测，并向委托方出具合法有效真实的监测报告。</w:t>
      </w:r>
    </w:p>
    <w:p w14:paraId="681AB503">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2.2.3 因下列原因且经委托方签证确认，承担方工期可相应顺延：</w:t>
      </w:r>
    </w:p>
    <w:p w14:paraId="0946BE8A">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（1）委托方未能履行本合同规定之责任；</w:t>
      </w:r>
    </w:p>
    <w:p w14:paraId="4EBD7D41">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（2）委托方对监测方案进行变更导致监测无法正常进行而影响进度；</w:t>
      </w:r>
    </w:p>
    <w:p w14:paraId="50DF635B">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（3）人力不可抗拒的自然灾害。</w:t>
      </w:r>
    </w:p>
    <w:p w14:paraId="009F1278">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若发生上述原因，未经委托方签证确认，承担方工期不顺延。</w:t>
      </w:r>
    </w:p>
    <w:p w14:paraId="5FC1F30F">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2.2.4 本工程工期除按照本条第2.2.3款约定经委托方签证确认后相应顺延工期外，工期不因其他任何因素而顺延，具体包括但不限于：</w:t>
      </w:r>
    </w:p>
    <w:p w14:paraId="0D4ECE7F">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（1）暴风、暴雨等气候干扰、施工场地及施工扰民等；</w:t>
      </w:r>
    </w:p>
    <w:p w14:paraId="355D259D">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（2）施工中可能遇到的交叉作业、现场配合、国家政策、政治性及其他社会活动、市场价格变动等因素引起工期延误。</w:t>
      </w:r>
    </w:p>
    <w:p w14:paraId="75C1E2B5">
      <w:pPr>
        <w:autoSpaceDE/>
        <w:autoSpaceDN/>
        <w:adjustRightInd/>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z w:val="22"/>
          <w:szCs w:val="22"/>
          <w:highlight w:val="none"/>
        </w:rPr>
        <w:t>2.2.5经委托方签证确认工期相应顺延的，委托方不补偿承担方误工机械费、误工人工费等任何费用。</w:t>
      </w:r>
    </w:p>
    <w:p w14:paraId="6B610250">
      <w:pPr>
        <w:spacing w:before="270" w:line="560" w:lineRule="exact"/>
        <w:ind w:firstLine="494" w:firstLineChars="200"/>
        <w:outlineLvl w:val="1"/>
        <w:rPr>
          <w:rFonts w:ascii="宋体" w:eastAsia="宋体" w:cs="宋体"/>
          <w:b/>
          <w:bCs/>
          <w:color w:val="auto"/>
          <w:szCs w:val="21"/>
          <w:highlight w:val="none"/>
        </w:rPr>
      </w:pPr>
      <w:r>
        <w:rPr>
          <w:rFonts w:ascii="宋体" w:eastAsia="宋体" w:cs="宋体"/>
          <w:b/>
          <w:bCs/>
          <w:color w:val="auto"/>
          <w:spacing w:val="3"/>
          <w:szCs w:val="21"/>
          <w:highlight w:val="none"/>
        </w:rPr>
        <w:t>第三条</w:t>
      </w:r>
      <w:r>
        <w:rPr>
          <w:rFonts w:ascii="宋体" w:eastAsia="宋体" w:cs="宋体"/>
          <w:b/>
          <w:bCs/>
          <w:color w:val="auto"/>
          <w:spacing w:val="6"/>
          <w:szCs w:val="21"/>
          <w:highlight w:val="none"/>
        </w:rPr>
        <w:t xml:space="preserve"> </w:t>
      </w:r>
      <w:r>
        <w:rPr>
          <w:rFonts w:ascii="宋体" w:eastAsia="宋体" w:cs="宋体"/>
          <w:b/>
          <w:bCs/>
          <w:color w:val="auto"/>
          <w:spacing w:val="3"/>
          <w:szCs w:val="21"/>
          <w:highlight w:val="none"/>
        </w:rPr>
        <w:t>工作内容应遵循如下规范及规定</w:t>
      </w:r>
    </w:p>
    <w:p w14:paraId="6E9DED77">
      <w:pPr>
        <w:snapToGrid w:val="0"/>
        <w:spacing w:line="560" w:lineRule="exact"/>
        <w:ind w:left="0" w:right="0" w:firstLine="440" w:firstLineChars="200"/>
        <w:textAlignment w:val="auto"/>
        <w:rPr>
          <w:rFonts w:ascii="宋体" w:eastAsia="宋体" w:cs="Arial"/>
          <w:color w:val="auto"/>
          <w:sz w:val="22"/>
          <w:szCs w:val="22"/>
          <w:highlight w:val="none"/>
        </w:rPr>
      </w:pPr>
      <w:r>
        <w:rPr>
          <w:rFonts w:ascii="宋体" w:eastAsia="宋体" w:cs="Arial"/>
          <w:color w:val="auto"/>
          <w:sz w:val="22"/>
          <w:szCs w:val="22"/>
          <w:highlight w:val="none"/>
        </w:rPr>
        <w:t>合同约定的工作内容应遵循如下（包含但不限于）规范及规定，均须达到国家和地方现行有关法律法规规范标准和规</w:t>
      </w:r>
      <w:r>
        <w:rPr>
          <w:rFonts w:ascii="宋体" w:eastAsia="宋体" w:cs="Arial"/>
          <w:color w:val="auto"/>
          <w:spacing w:val="0"/>
          <w:sz w:val="22"/>
          <w:szCs w:val="22"/>
          <w:highlight w:val="none"/>
        </w:rPr>
        <w:t>定的要求。若相关部门有新的规范、规程、规定、标准，则以新颁布的文件为准。</w:t>
      </w:r>
    </w:p>
    <w:p w14:paraId="6A645F7B">
      <w:pPr>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（1）《中华人民共和国城市规划法》</w:t>
      </w:r>
      <w:r>
        <w:rPr>
          <w:rFonts w:ascii="宋体" w:eastAsia="宋体" w:cs="Arial"/>
          <w:color w:val="auto"/>
          <w:sz w:val="22"/>
          <w:szCs w:val="22"/>
          <w:highlight w:val="none"/>
        </w:rPr>
        <w:t>；</w:t>
      </w:r>
    </w:p>
    <w:p w14:paraId="0656C161">
      <w:pPr>
        <w:snapToGrid w:val="0"/>
        <w:spacing w:line="560" w:lineRule="exact"/>
        <w:ind w:right="0"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（2）《重庆市城乡总体规划（2007－2020 年）》；</w:t>
      </w:r>
      <w:r>
        <w:rPr>
          <w:rFonts w:ascii="宋体" w:eastAsia="宋体" w:cs="Arial"/>
          <w:color w:val="auto"/>
          <w:sz w:val="22"/>
          <w:szCs w:val="22"/>
          <w:highlight w:val="none"/>
        </w:rPr>
        <w:t xml:space="preserve">                                </w:t>
      </w:r>
    </w:p>
    <w:p w14:paraId="793EEE04">
      <w:pPr>
        <w:snapToGrid w:val="0"/>
        <w:spacing w:line="560" w:lineRule="exact"/>
        <w:ind w:right="0"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（3）《重庆市国民经济和社会发展第十一个五年规划纲要》</w:t>
      </w:r>
      <w:r>
        <w:rPr>
          <w:rFonts w:ascii="宋体" w:eastAsia="宋体" w:cs="Arial"/>
          <w:color w:val="auto"/>
          <w:sz w:val="22"/>
          <w:szCs w:val="22"/>
          <w:highlight w:val="none"/>
        </w:rPr>
        <w:t xml:space="preserve">；                   </w:t>
      </w:r>
    </w:p>
    <w:p w14:paraId="5893FC1D">
      <w:pPr>
        <w:snapToGrid w:val="0"/>
        <w:spacing w:line="560" w:lineRule="exact"/>
        <w:ind w:right="0"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（4）</w:t>
      </w:r>
      <w:r>
        <w:rPr>
          <w:rFonts w:ascii="宋体" w:eastAsia="宋体" w:cs="Arial"/>
          <w:b w:val="0"/>
          <w:bCs w:val="0"/>
          <w:color w:val="auto"/>
          <w:sz w:val="22"/>
          <w:szCs w:val="22"/>
          <w:highlight w:val="none"/>
          <w:lang w:val="en-US" w:eastAsia="zh-CN" w:bidi="ar-SA"/>
        </w:rPr>
        <w:t>《测绘成果质量检查与验收》 GB/T 24356-2023</w:t>
      </w:r>
      <w:r>
        <w:rPr>
          <w:rFonts w:ascii="宋体" w:eastAsia="宋体" w:cs="Arial"/>
          <w:color w:val="auto"/>
          <w:spacing w:val="0"/>
          <w:sz w:val="22"/>
          <w:szCs w:val="22"/>
          <w:highlight w:val="none"/>
        </w:rPr>
        <w:t>；</w:t>
      </w:r>
      <w:r>
        <w:rPr>
          <w:rFonts w:ascii="宋体" w:eastAsia="宋体" w:cs="Arial"/>
          <w:color w:val="auto"/>
          <w:sz w:val="22"/>
          <w:szCs w:val="22"/>
          <w:highlight w:val="none"/>
        </w:rPr>
        <w:t xml:space="preserve">                             </w:t>
      </w:r>
    </w:p>
    <w:p w14:paraId="1601DB69">
      <w:pPr>
        <w:snapToGrid w:val="0"/>
        <w:spacing w:line="560" w:lineRule="exact"/>
        <w:ind w:right="0"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（5）《建筑基坑工程监测技术标准》 (GB 50497-2019);</w:t>
      </w:r>
      <w:r>
        <w:rPr>
          <w:rFonts w:ascii="宋体" w:eastAsia="宋体" w:cs="Arial"/>
          <w:color w:val="auto"/>
          <w:sz w:val="22"/>
          <w:szCs w:val="22"/>
          <w:highlight w:val="none"/>
        </w:rPr>
        <w:t xml:space="preserve">                         </w:t>
      </w:r>
    </w:p>
    <w:p w14:paraId="46AF1698">
      <w:pPr>
        <w:snapToGrid w:val="0"/>
        <w:spacing w:line="560" w:lineRule="exact"/>
        <w:ind w:right="0" w:firstLine="440" w:firstLineChars="200"/>
        <w:jc w:val="left"/>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（6）基坑支护相关施工图纸；</w:t>
      </w:r>
    </w:p>
    <w:p w14:paraId="5631C162">
      <w:pPr>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pacing w:val="0"/>
          <w:w w:val="100"/>
          <w:sz w:val="22"/>
          <w:szCs w:val="22"/>
          <w:highlight w:val="none"/>
        </w:rPr>
        <w:t>（7）《建筑变形测量规范》 JGJ8 2016；</w:t>
      </w:r>
    </w:p>
    <w:p w14:paraId="1B56A128">
      <w:pPr>
        <w:snapToGrid w:val="0"/>
        <w:spacing w:line="560" w:lineRule="exact"/>
        <w:ind w:firstLine="440" w:firstLineChars="200"/>
        <w:jc w:val="left"/>
        <w:textAlignment w:val="auto"/>
        <w:rPr>
          <w:rFonts w:ascii="宋体" w:eastAsia="宋体" w:cs="Arial"/>
          <w:color w:val="auto"/>
          <w:sz w:val="22"/>
          <w:szCs w:val="22"/>
          <w:highlight w:val="none"/>
        </w:rPr>
      </w:pPr>
      <w:r>
        <w:rPr>
          <w:rFonts w:ascii="宋体" w:eastAsia="宋体" w:cs="Arial"/>
          <w:color w:val="auto"/>
          <w:spacing w:val="0"/>
          <w:w w:val="100"/>
          <w:sz w:val="22"/>
          <w:szCs w:val="22"/>
          <w:highlight w:val="none"/>
        </w:rPr>
        <w:t>（8）《工程测量规范》  GB50026-2020；</w:t>
      </w:r>
    </w:p>
    <w:p w14:paraId="1C242DA8">
      <w:pPr>
        <w:snapToGrid w:val="0"/>
        <w:spacing w:line="560" w:lineRule="exact"/>
        <w:ind w:firstLine="440" w:firstLineChars="200"/>
        <w:textAlignment w:val="auto"/>
        <w:rPr>
          <w:rFonts w:ascii="宋体" w:eastAsia="宋体"/>
          <w:color w:val="auto"/>
          <w:sz w:val="22"/>
          <w:szCs w:val="22"/>
          <w:highlight w:val="none"/>
        </w:rPr>
      </w:pPr>
      <w:r>
        <w:rPr>
          <w:rFonts w:ascii="宋体" w:eastAsia="宋体" w:cs="Arial"/>
          <w:color w:val="auto"/>
          <w:spacing w:val="0"/>
          <w:sz w:val="22"/>
          <w:szCs w:val="22"/>
          <w:highlight w:val="none"/>
        </w:rPr>
        <w:t>（9）《工程测量规范》  GB50026-2007；</w:t>
      </w:r>
    </w:p>
    <w:p w14:paraId="22AC7C72">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position w:val="0"/>
          <w:sz w:val="22"/>
          <w:szCs w:val="22"/>
          <w:highlight w:val="none"/>
        </w:rPr>
        <w:t>（10）《岩土工程安全监测手册》；</w:t>
      </w:r>
    </w:p>
    <w:p w14:paraId="40A2E435">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（11）《岩土检测试验监测手册》；</w:t>
      </w:r>
    </w:p>
    <w:p w14:paraId="40EF6D45">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（12）《岩土工程勘察规范》（JB50021-2001）；</w:t>
      </w:r>
    </w:p>
    <w:p w14:paraId="67B30163">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(13) 《建筑边坡支护技术规范》 DB 50/5018-2001；</w:t>
      </w:r>
    </w:p>
    <w:p w14:paraId="4896C859">
      <w:pPr>
        <w:snapToGrid w:val="0"/>
        <w:spacing w:line="560" w:lineRule="exact"/>
        <w:ind w:firstLine="440" w:firstLineChars="200"/>
        <w:textAlignment w:val="auto"/>
        <w:rPr>
          <w:rFonts w:ascii="宋体" w:eastAsia="宋体" w:cs="Arial"/>
          <w:color w:val="auto"/>
          <w:spacing w:val="0"/>
          <w:sz w:val="22"/>
          <w:szCs w:val="22"/>
          <w:highlight w:val="none"/>
        </w:rPr>
      </w:pPr>
      <w:r>
        <w:rPr>
          <w:rFonts w:ascii="宋体" w:eastAsia="宋体" w:cs="Arial"/>
          <w:color w:val="auto"/>
          <w:spacing w:val="0"/>
          <w:sz w:val="22"/>
          <w:szCs w:val="22"/>
          <w:highlight w:val="none"/>
        </w:rPr>
        <w:t>(14) 《国家三、四等水准测量规范》 GB/T 12898 - 2009</w:t>
      </w:r>
      <w:r>
        <w:rPr>
          <w:rFonts w:ascii="宋体" w:eastAsia="宋体" w:cs="Arial"/>
          <w:color w:val="auto"/>
          <w:spacing w:val="0"/>
          <w:sz w:val="22"/>
          <w:szCs w:val="22"/>
          <w:highlight w:val="none"/>
        </w:rPr>
        <w:t>；</w:t>
      </w:r>
    </w:p>
    <w:p w14:paraId="29AC2091">
      <w:pPr>
        <w:pStyle w:val="2"/>
        <w:snapToGrid w:val="0"/>
        <w:spacing w:line="560" w:lineRule="exact"/>
        <w:ind w:firstLine="440" w:firstLineChars="200"/>
        <w:textAlignment w:val="auto"/>
        <w:rPr>
          <w:rStyle w:val="15"/>
          <w:rFonts w:ascii="宋体" w:hAnsi="Times New Roman" w:eastAsia="宋体" w:cs="Arial"/>
          <w:b w:val="0"/>
          <w:bCs w:val="0"/>
          <w:i w:val="0"/>
          <w:iCs w:val="0"/>
          <w:color w:val="auto"/>
          <w:sz w:val="22"/>
          <w:szCs w:val="22"/>
          <w:highlight w:val="none"/>
        </w:rPr>
      </w:pPr>
      <w:r>
        <w:rPr>
          <w:rFonts w:ascii="宋体" w:hAnsi="Times New Roman" w:cs="Arial"/>
          <w:color w:val="auto"/>
          <w:sz w:val="22"/>
          <w:szCs w:val="22"/>
          <w:highlight w:val="none"/>
        </w:rPr>
        <w:t>（15）</w:t>
      </w:r>
      <w:r>
        <w:rPr>
          <w:rStyle w:val="15"/>
          <w:rFonts w:hint="default" w:ascii="宋体" w:hAnsi="Times New Roman" w:eastAsia="宋体" w:cs="Arial"/>
          <w:b w:val="0"/>
          <w:bCs w:val="0"/>
          <w:i w:val="0"/>
          <w:iCs w:val="0"/>
          <w:color w:val="auto"/>
          <w:sz w:val="22"/>
          <w:szCs w:val="22"/>
          <w:highlight w:val="none"/>
        </w:rPr>
        <w:t xml:space="preserve">《铁路隧道监控量测技术规程》 （ TB10121-2007） </w:t>
      </w:r>
      <w:r>
        <w:rPr>
          <w:rStyle w:val="15"/>
          <w:rFonts w:ascii="宋体" w:hAnsi="Times New Roman" w:eastAsia="宋体" w:cs="Arial"/>
          <w:b w:val="0"/>
          <w:bCs w:val="0"/>
          <w:i w:val="0"/>
          <w:iCs w:val="0"/>
          <w:color w:val="auto"/>
          <w:sz w:val="22"/>
          <w:szCs w:val="22"/>
          <w:highlight w:val="none"/>
        </w:rPr>
        <w:t>；</w:t>
      </w:r>
    </w:p>
    <w:p w14:paraId="46ECA627">
      <w:pPr>
        <w:pStyle w:val="2"/>
        <w:snapToGrid w:val="0"/>
        <w:spacing w:line="560" w:lineRule="exact"/>
        <w:ind w:firstLine="440" w:firstLineChars="200"/>
        <w:textAlignment w:val="auto"/>
        <w:rPr>
          <w:rStyle w:val="15"/>
          <w:rFonts w:ascii="宋体" w:hAnsi="Times New Roman" w:eastAsia="宋体" w:cs="Arial"/>
          <w:b w:val="0"/>
          <w:bCs w:val="0"/>
          <w:i w:val="0"/>
          <w:iCs w:val="0"/>
          <w:color w:val="auto"/>
          <w:sz w:val="22"/>
          <w:szCs w:val="22"/>
          <w:highlight w:val="none"/>
        </w:rPr>
      </w:pPr>
      <w:r>
        <w:rPr>
          <w:rStyle w:val="15"/>
          <w:rFonts w:ascii="宋体" w:hAnsi="Times New Roman" w:eastAsia="宋体" w:cs="Arial"/>
          <w:b w:val="0"/>
          <w:bCs w:val="0"/>
          <w:i w:val="0"/>
          <w:iCs w:val="0"/>
          <w:color w:val="auto"/>
          <w:sz w:val="22"/>
          <w:szCs w:val="22"/>
          <w:highlight w:val="none"/>
        </w:rPr>
        <w:t>（16）</w:t>
      </w:r>
      <w:r>
        <w:rPr>
          <w:rStyle w:val="15"/>
          <w:rFonts w:hint="default" w:ascii="宋体" w:hAnsi="Times New Roman" w:eastAsia="宋体" w:cs="Arial"/>
          <w:b w:val="0"/>
          <w:bCs w:val="0"/>
          <w:i w:val="0"/>
          <w:iCs w:val="0"/>
          <w:color w:val="auto"/>
          <w:sz w:val="22"/>
          <w:szCs w:val="22"/>
          <w:highlight w:val="none"/>
        </w:rPr>
        <w:t>《国家一、 二等水准测量规范》 （ GB/T l2897-2006）</w:t>
      </w:r>
      <w:r>
        <w:rPr>
          <w:rStyle w:val="15"/>
          <w:rFonts w:ascii="宋体" w:hAnsi="Times New Roman" w:eastAsia="宋体" w:cs="Arial"/>
          <w:b w:val="0"/>
          <w:bCs w:val="0"/>
          <w:i w:val="0"/>
          <w:iCs w:val="0"/>
          <w:color w:val="auto"/>
          <w:sz w:val="22"/>
          <w:szCs w:val="22"/>
          <w:highlight w:val="none"/>
        </w:rPr>
        <w:t>；</w:t>
      </w:r>
    </w:p>
    <w:p w14:paraId="01779E11">
      <w:pPr>
        <w:pStyle w:val="2"/>
        <w:snapToGrid w:val="0"/>
        <w:spacing w:line="560" w:lineRule="exact"/>
        <w:ind w:firstLine="440" w:firstLineChars="200"/>
        <w:textAlignment w:val="auto"/>
        <w:rPr>
          <w:rStyle w:val="15"/>
          <w:rFonts w:ascii="宋体" w:hAnsi="Times New Roman" w:eastAsia="宋体" w:cs="Arial"/>
          <w:b w:val="0"/>
          <w:bCs w:val="0"/>
          <w:i w:val="0"/>
          <w:iCs w:val="0"/>
          <w:color w:val="auto"/>
          <w:sz w:val="22"/>
          <w:szCs w:val="22"/>
          <w:highlight w:val="none"/>
        </w:rPr>
      </w:pPr>
      <w:r>
        <w:rPr>
          <w:rStyle w:val="15"/>
          <w:rFonts w:ascii="宋体" w:hAnsi="Times New Roman" w:eastAsia="宋体" w:cs="Arial"/>
          <w:b w:val="0"/>
          <w:bCs w:val="0"/>
          <w:i w:val="0"/>
          <w:iCs w:val="0"/>
          <w:color w:val="auto"/>
          <w:sz w:val="22"/>
          <w:szCs w:val="22"/>
          <w:highlight w:val="none"/>
        </w:rPr>
        <w:t>（18）</w:t>
      </w:r>
      <w:r>
        <w:rPr>
          <w:rStyle w:val="15"/>
          <w:rFonts w:hint="default" w:ascii="宋体" w:hAnsi="Times New Roman" w:eastAsia="宋体" w:cs="Arial"/>
          <w:b w:val="0"/>
          <w:bCs w:val="0"/>
          <w:i w:val="0"/>
          <w:iCs w:val="0"/>
          <w:color w:val="auto"/>
          <w:sz w:val="22"/>
          <w:szCs w:val="22"/>
          <w:highlight w:val="none"/>
        </w:rPr>
        <w:t xml:space="preserve"> 《岩土工程监测规范》 （ YST5229-2019）</w:t>
      </w:r>
      <w:r>
        <w:rPr>
          <w:rStyle w:val="15"/>
          <w:rFonts w:ascii="宋体" w:hAnsi="Times New Roman" w:eastAsia="宋体" w:cs="Arial"/>
          <w:b w:val="0"/>
          <w:bCs w:val="0"/>
          <w:i w:val="0"/>
          <w:iCs w:val="0"/>
          <w:color w:val="auto"/>
          <w:sz w:val="22"/>
          <w:szCs w:val="22"/>
          <w:highlight w:val="none"/>
        </w:rPr>
        <w:t>；</w:t>
      </w:r>
    </w:p>
    <w:p w14:paraId="146A7348">
      <w:pPr>
        <w:pStyle w:val="2"/>
        <w:snapToGrid w:val="0"/>
        <w:spacing w:line="560" w:lineRule="exact"/>
        <w:ind w:firstLine="440" w:firstLineChars="200"/>
        <w:rPr>
          <w:rFonts w:ascii="宋体" w:hAnsi="Times New Roman" w:eastAsia="宋体" w:cs="Arial"/>
          <w:color w:val="auto"/>
          <w:sz w:val="22"/>
          <w:szCs w:val="22"/>
          <w:highlight w:val="none"/>
        </w:rPr>
      </w:pPr>
      <w:r>
        <w:rPr>
          <w:rFonts w:ascii="宋体" w:hAnsi="Times New Roman" w:cs="Arial"/>
          <w:color w:val="auto"/>
          <w:sz w:val="22"/>
          <w:szCs w:val="22"/>
          <w:highlight w:val="none"/>
        </w:rPr>
        <w:t>（19）其他与轨道交通相关的</w:t>
      </w:r>
      <w:r>
        <w:rPr>
          <w:rFonts w:ascii="宋体" w:hAnsi="Times New Roman" w:eastAsia="宋体" w:cs="Arial"/>
          <w:color w:val="auto"/>
          <w:spacing w:val="0"/>
          <w:sz w:val="22"/>
          <w:szCs w:val="22"/>
          <w:highlight w:val="none"/>
        </w:rPr>
        <w:t>规范、规程、规定、标准等。</w:t>
      </w:r>
    </w:p>
    <w:p w14:paraId="3F87B6F2">
      <w:pPr>
        <w:spacing w:line="560" w:lineRule="exact"/>
        <w:ind w:firstLine="490" w:firstLineChars="200"/>
        <w:outlineLvl w:val="1"/>
        <w:rPr>
          <w:rFonts w:ascii="宋体" w:eastAsia="宋体" w:cs="宋体"/>
          <w:b/>
          <w:bCs/>
          <w:color w:val="auto"/>
          <w:spacing w:val="2"/>
          <w:szCs w:val="21"/>
          <w:highlight w:val="none"/>
        </w:rPr>
      </w:pPr>
      <w:r>
        <w:rPr>
          <w:rFonts w:ascii="宋体" w:eastAsia="宋体" w:cs="宋体"/>
          <w:b/>
          <w:bCs/>
          <w:color w:val="auto"/>
          <w:spacing w:val="2"/>
          <w:szCs w:val="21"/>
          <w:highlight w:val="none"/>
        </w:rPr>
        <w:t>第四条</w:t>
      </w:r>
      <w:r>
        <w:rPr>
          <w:rFonts w:ascii="宋体" w:eastAsia="宋体" w:cs="宋体"/>
          <w:b/>
          <w:bCs/>
          <w:color w:val="auto"/>
          <w:spacing w:val="14"/>
          <w:szCs w:val="21"/>
          <w:highlight w:val="none"/>
        </w:rPr>
        <w:t xml:space="preserve"> </w:t>
      </w:r>
      <w:r>
        <w:rPr>
          <w:rFonts w:ascii="宋体" w:eastAsia="宋体" w:cs="宋体"/>
          <w:b/>
          <w:bCs/>
          <w:color w:val="auto"/>
          <w:spacing w:val="2"/>
          <w:szCs w:val="21"/>
          <w:highlight w:val="none"/>
        </w:rPr>
        <w:t>承担方的一般义务</w:t>
      </w:r>
    </w:p>
    <w:p w14:paraId="00C8220E">
      <w:pPr>
        <w:snapToGrid w:val="0"/>
        <w:spacing w:line="560" w:lineRule="exact"/>
        <w:ind w:firstLine="440" w:firstLineChars="200"/>
        <w:textAlignment w:val="auto"/>
        <w:outlineLvl w:val="9"/>
        <w:rPr>
          <w:rFonts w:ascii="宋体" w:eastAsia="宋体" w:cs="Arial"/>
          <w:b w:val="0"/>
          <w:bCs w:val="0"/>
          <w:color w:val="auto"/>
          <w:sz w:val="22"/>
          <w:szCs w:val="22"/>
          <w:highlight w:val="none"/>
        </w:rPr>
      </w:pPr>
      <w:r>
        <w:rPr>
          <w:rFonts w:ascii="宋体" w:eastAsia="宋体" w:cs="Arial"/>
          <w:b w:val="0"/>
          <w:bCs w:val="0"/>
          <w:color w:val="auto"/>
          <w:spacing w:val="0"/>
          <w:sz w:val="22"/>
          <w:szCs w:val="22"/>
          <w:highlight w:val="none"/>
        </w:rPr>
        <w:t>承担方向委托方提交下列成果资料，并对其质量负责</w:t>
      </w:r>
    </w:p>
    <w:p w14:paraId="4EAA7CAC">
      <w:pPr>
        <w:snapToGrid w:val="0"/>
        <w:spacing w:line="560" w:lineRule="exact"/>
        <w:ind w:left="0" w:right="0"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 xml:space="preserve"> </w:t>
      </w:r>
      <w:r>
        <w:rPr>
          <w:rFonts w:ascii="宋体" w:eastAsia="宋体" w:cs="Arial"/>
          <w:color w:val="auto"/>
          <w:sz w:val="22"/>
          <w:szCs w:val="22"/>
          <w:highlight w:val="none"/>
        </w:rPr>
        <w:t>在监测过程中，实时对监测结果进行整理分析，信息反馈与成果需按委托方的要求以电话、短信、预警报告、周报及月报的形式送达有关各方，监测报告必须保证及时性。工程结束时，提交完整的</w:t>
      </w:r>
    </w:p>
    <w:p w14:paraId="7FC8E796">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监测总结报告及电子文档。</w:t>
      </w:r>
    </w:p>
    <w:p w14:paraId="2566FC3C">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（1）电话及短信通知</w:t>
      </w:r>
    </w:p>
    <w:p w14:paraId="542DBDDC">
      <w:pPr>
        <w:snapToGrid w:val="0"/>
        <w:spacing w:line="560" w:lineRule="exact"/>
        <w:ind w:left="0" w:right="0"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通过量测数据及现场观测发现施工现场存在异常情况，先以电话和短信通知的方式立即报告各方（委托方、施工方、监理人等）， 然后根据异常紧急程度，提出是否召开现场监测会议和提交预警报告。</w:t>
      </w:r>
    </w:p>
    <w:p w14:paraId="2B17A8B6">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（2）预警报告</w:t>
      </w:r>
    </w:p>
    <w:p w14:paraId="44CC1D86">
      <w:pPr>
        <w:snapToGrid w:val="0"/>
        <w:spacing w:line="560" w:lineRule="exact"/>
        <w:ind w:left="0" w:right="0"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对数据临近预警值的测点进行分析，发现变形较大或异常情况或达到预警指标时,应加大监测频率， 并及时以书面报告形式通知委托方和施工单位，保证工程安全，提出预警和启动预案的建议性意见。</w:t>
      </w:r>
    </w:p>
    <w:p w14:paraId="4E62CE1E">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（3）周、月报</w:t>
      </w:r>
    </w:p>
    <w:p w14:paraId="094A6C4A">
      <w:pPr>
        <w:snapToGrid w:val="0"/>
        <w:spacing w:line="560" w:lineRule="exact"/>
        <w:ind w:left="0" w:right="0" w:firstLine="440" w:firstLineChars="200"/>
        <w:textAlignment w:val="auto"/>
        <w:rPr>
          <w:rFonts w:ascii="宋体" w:eastAsia="宋体" w:cs="Arial"/>
          <w:color w:val="auto"/>
          <w:spacing w:val="0"/>
          <w:sz w:val="22"/>
          <w:szCs w:val="22"/>
          <w:highlight w:val="none"/>
        </w:rPr>
      </w:pPr>
      <w:r>
        <w:rPr>
          <w:rFonts w:ascii="宋体" w:eastAsia="宋体" w:cs="Arial"/>
          <w:color w:val="auto"/>
          <w:spacing w:val="0"/>
          <w:sz w:val="22"/>
          <w:szCs w:val="22"/>
          <w:highlight w:val="none"/>
        </w:rPr>
        <w:t>施工期间每周提供一次监测周报、每月提供一次监测月报。周、月报提交主要内容包含：施工进度，总结本周（月）监测结果，工程概括，监测依据，监测设备及精度，监测内容及完成工作量，稳定性分析及施工建议等。</w:t>
      </w:r>
    </w:p>
    <w:p w14:paraId="2970BE2A">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（4）监测总结报告</w:t>
      </w:r>
    </w:p>
    <w:p w14:paraId="1891EE4A">
      <w:pPr>
        <w:snapToGrid w:val="0"/>
        <w:spacing w:line="560" w:lineRule="exact"/>
        <w:ind w:right="0" w:firstLine="440" w:firstLineChars="200"/>
        <w:textAlignment w:val="auto"/>
        <w:rPr>
          <w:rFonts w:ascii="宋体" w:eastAsia="宋体" w:cs="Arial"/>
          <w:color w:val="auto"/>
          <w:spacing w:val="0"/>
          <w:sz w:val="22"/>
          <w:szCs w:val="22"/>
          <w:highlight w:val="none"/>
        </w:rPr>
      </w:pPr>
      <w:r>
        <w:rPr>
          <w:rFonts w:ascii="宋体" w:eastAsia="宋体" w:cs="Arial"/>
          <w:color w:val="auto"/>
          <w:sz w:val="22"/>
          <w:szCs w:val="22"/>
          <w:highlight w:val="none"/>
        </w:rPr>
        <w:t>在项目完工后，应及时提交总结报告，报告内容应包含：工程概况、监测目的；监测项目，测点布置；采用的仪器型号、规格及标定资料；数据采集的分析处理；监测资料的分析处理；监测值全过程随工程施工工况变化曲线分析；监测结果评述。施工期结束后一个月内，向委托方提供监测技术总结报告</w:t>
      </w:r>
      <w:r>
        <w:rPr>
          <w:rFonts w:ascii="宋体" w:eastAsia="宋体" w:cs="Arial"/>
          <w:color w:val="auto"/>
          <w:spacing w:val="0"/>
          <w:sz w:val="22"/>
          <w:szCs w:val="22"/>
          <w:highlight w:val="none"/>
        </w:rPr>
        <w:t xml:space="preserve"> 一式陆份和电子文件贰份。</w:t>
      </w:r>
    </w:p>
    <w:p w14:paraId="3B78C8CB">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4.2承担方需遵守委托方现场的管理规定，安全文明监测；严格按国家现行有关技术规范、标准及委托方的有关规定进行监测，提供真实有效、合格的成果报告，并对监测成果的质量负责。</w:t>
      </w:r>
    </w:p>
    <w:p w14:paraId="3F607BCB">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4.3承担方应遵守国家和地方的法律法规、严格按照建设工程质量监测有关规范、标准和规程的要求，在核定的资质范围内开展监测工作；及时向委托方提供各种监测报告，并提供优质监测服务；对监测结果的真实性负责。对发现的重大质量问题（如实际监测结果不符合设计要求），应及时向委托方报告。</w:t>
      </w:r>
    </w:p>
    <w:p w14:paraId="788FD4F9">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4.4承担方应按照委托方的计划要求，配备足够的有资质的技术管理人员，配备满足现场监测要求的实验室或试验设备，按照委托方的进度计划完成各项目的监测工作，以保证各个项目的工程进度。</w:t>
      </w:r>
    </w:p>
    <w:p w14:paraId="5F03841B">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4.5委托方明确监测标准的情况下，按委托方指定标准进行监测；委托方未明确监测标准的，按工程施工验收规定及相关监测规范性规定的标准执行。如遇有超过承担方监测能力以外的特殊项目，应征得委托方同意后才能对监测项目进行分包。</w:t>
      </w:r>
      <w:r>
        <w:rPr>
          <w:rFonts w:ascii="宋体" w:eastAsia="宋体"/>
          <w:color w:val="auto"/>
          <w:sz w:val="22"/>
          <w:szCs w:val="22"/>
          <w:highlight w:val="none"/>
        </w:rPr>
        <w:tab/>
      </w:r>
    </w:p>
    <w:p w14:paraId="36CDBED4">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4.6承担方现场监测时，应明确监测要求。承担方对监测数据和监测报告的真实性和准确性负责；对委托方的技术数据进行保密。</w:t>
      </w:r>
    </w:p>
    <w:p w14:paraId="31E21468">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4.7在监测完成后，承担方应在5天内通知委托方此次监测的结果并出具监测报告交委托方；</w:t>
      </w:r>
    </w:p>
    <w:p w14:paraId="66FE7BB2">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4.8承担方按工程进度需求、委托方要求或施工方要求及时完成监测工作,并提交有效合格的监测报告。</w:t>
      </w:r>
    </w:p>
    <w:p w14:paraId="1D87ED63">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4.9承担方未经委托方批准，不得转包、分包本合同的监测工作内容。</w:t>
      </w:r>
    </w:p>
    <w:p w14:paraId="4EC24187">
      <w:pPr>
        <w:snapToGrid w:val="0"/>
        <w:spacing w:line="560" w:lineRule="exact"/>
        <w:ind w:right="0"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4.10监测人员现场工作期间，严格遵守本工程的安全管理制度，严防安全事故发生。承担方应为监测人员购买相应的人身保险，因意外、不可抗力、监测人员自身原因、监测人员违反委托方的安全管理制度等致使承担方在监测工作过程中发生人身伤害或造成经济损失，由承担方自行承担相关费用及责任。</w:t>
      </w:r>
    </w:p>
    <w:p w14:paraId="2180AE5B">
      <w:pPr>
        <w:snapToGrid w:val="0"/>
        <w:spacing w:line="560" w:lineRule="exact"/>
        <w:ind w:right="0" w:firstLine="440" w:firstLineChars="200"/>
        <w:textAlignment w:val="auto"/>
        <w:rPr>
          <w:rFonts w:ascii="宋体" w:eastAsia="宋体" w:cs="Arial"/>
          <w:color w:val="auto"/>
          <w:sz w:val="22"/>
          <w:szCs w:val="22"/>
          <w:highlight w:val="none"/>
        </w:rPr>
      </w:pPr>
      <w:r>
        <w:rPr>
          <w:rFonts w:ascii="宋体" w:eastAsia="宋体" w:cs="Arial"/>
          <w:color w:val="auto"/>
          <w:sz w:val="22"/>
          <w:szCs w:val="22"/>
          <w:highlight w:val="none"/>
        </w:rPr>
        <w:t>4.11监测服务期限内，承担方项目负责人和技术负责人均应保持通讯畅通，如发生地质灾害或极端天气等自然灾害情形或其他任何突发情况时，承担方项目负责人和项目技术负责人应在接到委托方通知后，按委托方书面或口头通知（含微信、短信、电话等任何方式之一）的时间、地点抵达工程项目现场，并按委托方要求开展相关监测工作。</w:t>
      </w:r>
    </w:p>
    <w:p w14:paraId="47FB2BA5">
      <w:pPr>
        <w:spacing w:line="560" w:lineRule="exact"/>
        <w:ind w:firstLine="1"/>
        <w:outlineLvl w:val="1"/>
        <w:rPr>
          <w:rFonts w:ascii="宋体" w:eastAsia="宋体" w:cs="宋体"/>
          <w:b/>
          <w:bCs/>
          <w:color w:val="auto"/>
          <w:szCs w:val="21"/>
          <w:highlight w:val="none"/>
        </w:rPr>
      </w:pPr>
      <w:r>
        <w:rPr>
          <w:rFonts w:ascii="宋体" w:eastAsia="宋体" w:cs="宋体"/>
          <w:b/>
          <w:bCs/>
          <w:color w:val="auto"/>
          <w:spacing w:val="6"/>
          <w:szCs w:val="21"/>
          <w:highlight w:val="none"/>
        </w:rPr>
        <w:t>第五条</w:t>
      </w:r>
      <w:r>
        <w:rPr>
          <w:rFonts w:ascii="宋体" w:eastAsia="宋体" w:cs="宋体"/>
          <w:b/>
          <w:bCs/>
          <w:color w:val="auto"/>
          <w:spacing w:val="-4"/>
          <w:szCs w:val="21"/>
          <w:highlight w:val="none"/>
        </w:rPr>
        <w:t xml:space="preserve"> </w:t>
      </w:r>
      <w:r>
        <w:rPr>
          <w:rFonts w:ascii="宋体" w:eastAsia="宋体" w:cs="宋体"/>
          <w:b/>
          <w:bCs/>
          <w:color w:val="auto"/>
          <w:spacing w:val="6"/>
          <w:szCs w:val="21"/>
          <w:highlight w:val="none"/>
        </w:rPr>
        <w:t>特殊说明</w:t>
      </w:r>
    </w:p>
    <w:p w14:paraId="12BF0F4F">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5.1 合同签订之日起3日内，承担方需根据实际情况和相关规范编制监测方案并提交给委托方，经委托方批准后执行。</w:t>
      </w:r>
    </w:p>
    <w:p w14:paraId="270460CF">
      <w:pPr>
        <w:snapToGrid w:val="0"/>
        <w:spacing w:line="560" w:lineRule="exact"/>
        <w:ind w:left="0" w:right="0"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监测的技术标准和要求须符合国家及地方现行法律法规及相关规范、规定要求。承担方须根据委托方相关要求及监测技术要求，结合委托方提供的相关技术资料（图纸等）以及项目实际情况实施监测。</w:t>
      </w:r>
    </w:p>
    <w:p w14:paraId="6F8D5744">
      <w:pPr>
        <w:snapToGrid w:val="0"/>
        <w:spacing w:line="560" w:lineRule="exact"/>
        <w:ind w:left="0" w:firstLine="440" w:firstLineChars="200"/>
        <w:textAlignment w:val="auto"/>
        <w:rPr>
          <w:rFonts w:ascii="宋体" w:eastAsia="宋体" w:cs="Arial"/>
          <w:color w:val="auto"/>
          <w:sz w:val="22"/>
          <w:szCs w:val="22"/>
          <w:highlight w:val="none"/>
        </w:rPr>
      </w:pPr>
      <w:r>
        <w:rPr>
          <w:rFonts w:ascii="宋体" w:eastAsia="宋体" w:cs="Arial"/>
          <w:color w:val="auto"/>
          <w:sz w:val="22"/>
          <w:szCs w:val="22"/>
          <w:highlight w:val="none"/>
        </w:rPr>
        <w:t>委托方提供的监测方案（如有）仅供参考，承担方实施的监控测量频率不得低于委托方要求的及相关强制标准要求的的监测频率。监测实施中，承担方应根据施工合同需检测的内容、相关要求和本监测合同约定的</w:t>
      </w:r>
      <w:r>
        <w:rPr>
          <w:rFonts w:ascii="宋体" w:eastAsia="宋体" w:cs="Arial"/>
          <w:color w:val="auto"/>
          <w:spacing w:val="0"/>
          <w:sz w:val="22"/>
          <w:szCs w:val="22"/>
          <w:highlight w:val="none"/>
        </w:rPr>
        <w:t>监测要求和相关部门审批要求，以实现监测效果，确保工程施工安全和基坑结构安全为目的，自行编制、</w:t>
      </w:r>
      <w:r>
        <w:rPr>
          <w:rFonts w:ascii="宋体" w:eastAsia="宋体" w:cs="Arial"/>
          <w:color w:val="auto"/>
          <w:sz w:val="22"/>
          <w:szCs w:val="22"/>
          <w:highlight w:val="none"/>
        </w:rPr>
        <w:t>完善监测实施方案；承担方编制的监测实施方案须按相关规定报送审批，承担方须严格按审定的监测实</w:t>
      </w:r>
      <w:r>
        <w:rPr>
          <w:rFonts w:ascii="宋体" w:eastAsia="宋体" w:cs="Arial"/>
          <w:color w:val="auto"/>
          <w:spacing w:val="0"/>
          <w:sz w:val="22"/>
          <w:szCs w:val="22"/>
          <w:highlight w:val="none"/>
        </w:rPr>
        <w:t>施方案开展第三方监测工作。</w:t>
      </w:r>
    </w:p>
    <w:p w14:paraId="5BDA441F">
      <w:pPr>
        <w:snapToGrid w:val="0"/>
        <w:spacing w:line="560" w:lineRule="exact"/>
        <w:ind w:firstLine="440" w:firstLineChars="200"/>
        <w:textAlignment w:val="auto"/>
        <w:rPr>
          <w:rFonts w:ascii="宋体" w:eastAsia="宋体" w:cs="Arial"/>
          <w:color w:val="auto"/>
          <w:sz w:val="22"/>
          <w:szCs w:val="22"/>
          <w:highlight w:val="none"/>
        </w:rPr>
      </w:pPr>
      <w:r>
        <w:rPr>
          <w:rFonts w:ascii="宋体" w:eastAsia="宋体" w:cs="Arial"/>
          <w:color w:val="auto"/>
          <w:spacing w:val="0"/>
          <w:sz w:val="22"/>
          <w:szCs w:val="22"/>
          <w:highlight w:val="none"/>
        </w:rPr>
        <w:t>在合同约定的监测范围内，因完善监测实施方案引起增加的监测工作，委托方不再另行支付费用。</w:t>
      </w:r>
    </w:p>
    <w:p w14:paraId="55CC77F9">
      <w:pPr>
        <w:snapToGrid w:val="0"/>
        <w:spacing w:line="560" w:lineRule="exact"/>
        <w:ind w:firstLine="440" w:firstLineChars="200"/>
        <w:textAlignment w:val="auto"/>
        <w:rPr>
          <w:rFonts w:ascii="宋体" w:eastAsia="宋体" w:cs="Arial"/>
          <w:color w:val="auto"/>
          <w:spacing w:val="0"/>
          <w:sz w:val="22"/>
          <w:szCs w:val="22"/>
          <w:highlight w:val="none"/>
        </w:rPr>
      </w:pPr>
      <w:r>
        <w:rPr>
          <w:rFonts w:ascii="宋体" w:eastAsia="宋体" w:cs="Arial"/>
          <w:color w:val="auto"/>
          <w:spacing w:val="0"/>
          <w:sz w:val="22"/>
          <w:szCs w:val="22"/>
          <w:highlight w:val="none"/>
        </w:rPr>
        <w:t>5.2 遇到争议、突发情况，提出处理建议方案，对技术难点组织召开专家论证会。</w:t>
      </w:r>
    </w:p>
    <w:p w14:paraId="20C5F3EA">
      <w:pPr>
        <w:snapToGrid w:val="0"/>
        <w:spacing w:line="560" w:lineRule="exact"/>
        <w:ind w:firstLine="440" w:firstLineChars="200"/>
        <w:textAlignment w:val="auto"/>
        <w:rPr>
          <w:rFonts w:ascii="宋体" w:eastAsia="宋体"/>
          <w:color w:val="auto"/>
          <w:sz w:val="22"/>
          <w:szCs w:val="22"/>
          <w:highlight w:val="none"/>
        </w:rPr>
      </w:pPr>
      <w:r>
        <w:rPr>
          <w:rFonts w:ascii="宋体" w:eastAsia="宋体"/>
          <w:color w:val="auto"/>
          <w:sz w:val="22"/>
          <w:szCs w:val="22"/>
          <w:highlight w:val="none"/>
        </w:rPr>
        <w:t>5.3承担方按本项目相关国家标准、地方标准、行业规定和委托方要求，形成监测报告。监测报告经监测人员及负责人签字、承担方法定代表人或者其授权的签字人签署，并加盖监测机构公章或者检测专用章后提交给委托方。</w:t>
      </w:r>
    </w:p>
    <w:p w14:paraId="209ED07D">
      <w:pPr>
        <w:snapToGrid w:val="0"/>
        <w:spacing w:line="560" w:lineRule="exact"/>
        <w:ind w:firstLine="1"/>
        <w:rPr>
          <w:rFonts w:ascii="宋体" w:cs="宋体"/>
          <w:b/>
          <w:bCs/>
          <w:color w:val="auto"/>
          <w:spacing w:val="6"/>
          <w:sz w:val="22"/>
          <w:szCs w:val="22"/>
          <w:highlight w:val="none"/>
        </w:rPr>
      </w:pPr>
      <w:r>
        <w:rPr>
          <w:rFonts w:ascii="宋体" w:cs="宋体"/>
          <w:b/>
          <w:bCs/>
          <w:color w:val="auto"/>
          <w:spacing w:val="6"/>
          <w:sz w:val="22"/>
          <w:szCs w:val="22"/>
          <w:highlight w:val="none"/>
        </w:rPr>
        <w:t>第六条 履约担保</w:t>
      </w:r>
    </w:p>
    <w:p w14:paraId="3DDF9597">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6.1履约保证金的形式：现金（对公银行转账）。</w:t>
      </w:r>
    </w:p>
    <w:p w14:paraId="79510B8B">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6.2履约保证金的金额：中选总价的5%；</w:t>
      </w:r>
    </w:p>
    <w:p w14:paraId="3634B29C">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账户名称：重庆科学城城市建设集团有限公司</w:t>
      </w:r>
    </w:p>
    <w:p w14:paraId="46C15341">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账号：50001033600050216755</w:t>
      </w:r>
    </w:p>
    <w:p w14:paraId="55FB1038">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开户行：中国建设银行股份有限公司重庆沙坪坝康居西城支行</w:t>
      </w:r>
    </w:p>
    <w:p w14:paraId="32CFE49C">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6.3履约保证金提交时间：中选公示结束后3个工作日内，承担方向委托方提交</w:t>
      </w:r>
      <w:r>
        <w:rPr>
          <w:rFonts w:ascii="宋体" w:eastAsia="宋体" w:cs="Arial"/>
          <w:bCs w:val="0"/>
          <w:color w:val="auto"/>
          <w:sz w:val="22"/>
          <w:szCs w:val="22"/>
          <w:highlight w:val="none"/>
        </w:rPr>
        <w:t>履约保证金</w:t>
      </w:r>
      <w:r>
        <w:rPr>
          <w:rFonts w:ascii="宋体" w:eastAsia="宋体" w:cs="Arial"/>
          <w:b w:val="0"/>
          <w:bCs w:val="0"/>
          <w:color w:val="auto"/>
          <w:spacing w:val="0"/>
          <w:sz w:val="22"/>
          <w:szCs w:val="22"/>
          <w:highlight w:val="none"/>
        </w:rPr>
        <w:t>，对未缴清</w:t>
      </w:r>
      <w:r>
        <w:rPr>
          <w:rFonts w:ascii="宋体" w:eastAsia="宋体" w:cs="Arial"/>
          <w:bCs w:val="0"/>
          <w:color w:val="auto"/>
          <w:sz w:val="22"/>
          <w:szCs w:val="22"/>
          <w:highlight w:val="none"/>
        </w:rPr>
        <w:t>履约保证金</w:t>
      </w:r>
      <w:r>
        <w:rPr>
          <w:rFonts w:ascii="宋体" w:eastAsia="宋体" w:cs="Arial"/>
          <w:b w:val="0"/>
          <w:bCs w:val="0"/>
          <w:color w:val="auto"/>
          <w:spacing w:val="0"/>
          <w:sz w:val="22"/>
          <w:szCs w:val="22"/>
          <w:highlight w:val="none"/>
        </w:rPr>
        <w:t>的，不得与其签订合同。</w:t>
      </w:r>
    </w:p>
    <w:p w14:paraId="4AB8B326">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6.4违约责任：如承担方未按以上规定时间缴纳履约保证金，委托方将视其为不诚信行为，并作为无故弃选处理，取消其承担方资格，没收竞选保证金。</w:t>
      </w:r>
    </w:p>
    <w:p w14:paraId="02DBBF43">
      <w:pPr>
        <w:snapToGrid/>
        <w:spacing w:line="60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6.5退还时间：提交所有合格的监控量测报告后14天内无息退还。</w:t>
      </w:r>
    </w:p>
    <w:p w14:paraId="664A4CE4">
      <w:pPr>
        <w:pStyle w:val="2"/>
        <w:snapToGrid w:val="0"/>
        <w:spacing w:line="560" w:lineRule="exact"/>
        <w:ind w:firstLine="440" w:firstLineChars="200"/>
        <w:rPr>
          <w:rFonts w:hint="default" w:ascii="宋体" w:hAnsi="Times New Roman" w:cs="Arial"/>
          <w:color w:val="auto"/>
          <w:sz w:val="22"/>
          <w:szCs w:val="22"/>
          <w:highlight w:val="none"/>
        </w:rPr>
      </w:pPr>
      <w:r>
        <w:rPr>
          <w:rFonts w:ascii="宋体" w:hAnsi="Times New Roman" w:cs="Arial"/>
          <w:color w:val="auto"/>
          <w:sz w:val="22"/>
          <w:szCs w:val="22"/>
          <w:highlight w:val="none"/>
        </w:rPr>
        <w:t>6.6担保范围：</w:t>
      </w:r>
      <w:r>
        <w:rPr>
          <w:rFonts w:hint="default" w:ascii="宋体" w:hAnsi="Times New Roman" w:cs="Arial"/>
          <w:color w:val="auto"/>
          <w:spacing w:val="0"/>
          <w:sz w:val="22"/>
          <w:szCs w:val="22"/>
          <w:highlight w:val="none"/>
        </w:rPr>
        <w:t>承担方未按照</w:t>
      </w:r>
      <w:r>
        <w:rPr>
          <w:rFonts w:ascii="宋体" w:hAnsi="Times New Roman" w:cs="Arial"/>
          <w:color w:val="auto"/>
          <w:spacing w:val="0"/>
          <w:sz w:val="22"/>
          <w:szCs w:val="22"/>
          <w:highlight w:val="none"/>
        </w:rPr>
        <w:t>中选</w:t>
      </w:r>
      <w:r>
        <w:rPr>
          <w:rFonts w:hint="default" w:ascii="宋体" w:hAnsi="Times New Roman" w:cs="Arial"/>
          <w:color w:val="auto"/>
          <w:spacing w:val="0"/>
          <w:sz w:val="22"/>
          <w:szCs w:val="22"/>
          <w:highlight w:val="none"/>
        </w:rPr>
        <w:t>通知书、</w:t>
      </w:r>
      <w:r>
        <w:rPr>
          <w:rFonts w:ascii="宋体" w:hAnsi="Times New Roman" w:cs="Arial"/>
          <w:color w:val="auto"/>
          <w:spacing w:val="0"/>
          <w:sz w:val="22"/>
          <w:szCs w:val="22"/>
          <w:highlight w:val="none"/>
        </w:rPr>
        <w:t>比选</w:t>
      </w:r>
      <w:r>
        <w:rPr>
          <w:rFonts w:hint="default" w:ascii="宋体" w:hAnsi="Times New Roman" w:cs="Arial"/>
          <w:color w:val="auto"/>
          <w:spacing w:val="0"/>
          <w:sz w:val="22"/>
          <w:szCs w:val="22"/>
          <w:highlight w:val="none"/>
        </w:rPr>
        <w:t>文件和投标</w:t>
      </w:r>
      <w:r>
        <w:rPr>
          <w:rFonts w:ascii="宋体" w:hAnsi="Times New Roman" w:cs="Arial"/>
          <w:color w:val="auto"/>
          <w:spacing w:val="0"/>
          <w:sz w:val="22"/>
          <w:szCs w:val="22"/>
          <w:highlight w:val="none"/>
        </w:rPr>
        <w:t>竞选</w:t>
      </w:r>
      <w:r>
        <w:rPr>
          <w:rFonts w:hint="default" w:ascii="宋体" w:hAnsi="Times New Roman" w:cs="Arial"/>
          <w:color w:val="auto"/>
          <w:spacing w:val="0"/>
          <w:sz w:val="22"/>
          <w:szCs w:val="22"/>
          <w:highlight w:val="none"/>
        </w:rPr>
        <w:t>文件约定与委托人签订合同或未按签订合同的约定履行相关义务，应当向委托人承担的违约责任和赔偿因此造成的一切损失、利息等，以及委托人为实现前述债权而支出的律师费、仲裁费/诉讼费、差旅费、保全担保费、保全费、执行费、鉴定费等实现债权的全部费用</w:t>
      </w:r>
      <w:r>
        <w:rPr>
          <w:rFonts w:ascii="宋体" w:hAnsi="Times New Roman" w:cs="Arial"/>
          <w:color w:val="auto"/>
          <w:spacing w:val="0"/>
          <w:sz w:val="22"/>
          <w:szCs w:val="22"/>
          <w:highlight w:val="none"/>
        </w:rPr>
        <w:t>。</w:t>
      </w:r>
    </w:p>
    <w:p w14:paraId="6E064C53">
      <w:pPr>
        <w:snapToGrid w:val="0"/>
        <w:spacing w:line="560" w:lineRule="exact"/>
        <w:ind w:firstLine="1"/>
        <w:rPr>
          <w:rFonts w:ascii="宋体" w:cs="宋体"/>
          <w:b/>
          <w:bCs/>
          <w:color w:val="auto"/>
          <w:sz w:val="22"/>
          <w:szCs w:val="22"/>
          <w:highlight w:val="none"/>
        </w:rPr>
      </w:pPr>
      <w:r>
        <w:rPr>
          <w:rFonts w:ascii="宋体" w:cs="宋体"/>
          <w:b/>
          <w:bCs/>
          <w:color w:val="auto"/>
          <w:spacing w:val="6"/>
          <w:sz w:val="22"/>
          <w:szCs w:val="22"/>
          <w:highlight w:val="none"/>
        </w:rPr>
        <w:t>第七条 低价风险担保</w:t>
      </w:r>
    </w:p>
    <w:p w14:paraId="2615FBC1">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7.1低价风险保证金的形式：现金（对公银行转账）</w:t>
      </w:r>
    </w:p>
    <w:p w14:paraId="78E5E38A">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7.2低价风险保证金的金额：低价风险保证金金额为超过15%部分的3倍，低价风险保证金金额=（总价最高限价×85%-中选价）×3，且最高不超过总价最高限价的85%。</w:t>
      </w:r>
    </w:p>
    <w:p w14:paraId="2B198F3E">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账户名称：重庆科学城城市建设集团有限公司</w:t>
      </w:r>
    </w:p>
    <w:p w14:paraId="7D8DF630">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账号：50001033600050216755</w:t>
      </w:r>
    </w:p>
    <w:p w14:paraId="6BB83735">
      <w:pPr>
        <w:snapToGrid w:val="0"/>
        <w:spacing w:line="560" w:lineRule="exact"/>
        <w:ind w:firstLine="440" w:firstLineChars="200"/>
        <w:rPr>
          <w:rFonts w:ascii="宋体"/>
          <w:color w:val="auto"/>
          <w:sz w:val="22"/>
          <w:szCs w:val="22"/>
          <w:highlight w:val="none"/>
        </w:rPr>
      </w:pPr>
      <w:r>
        <w:rPr>
          <w:rFonts w:ascii="宋体"/>
          <w:color w:val="auto"/>
          <w:sz w:val="22"/>
          <w:szCs w:val="22"/>
          <w:highlight w:val="none"/>
        </w:rPr>
        <w:t>开户行：中国建设银行股份有限公司重庆沙坪坝康居西城支行</w:t>
      </w:r>
    </w:p>
    <w:p w14:paraId="6BCC8DC0">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7.3</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的提交时间：中选公示结束后3个工作日内，承担方向委托方提交</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，对未缴清</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的，不得与其签订合同。</w:t>
      </w:r>
    </w:p>
    <w:p w14:paraId="20D9D11E">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7.4</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的期限：自</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生效之日起至项目验收合格之日止。</w:t>
      </w:r>
    </w:p>
    <w:p w14:paraId="09FC76B3">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7.5如承担方未按以上规定时间缴纳</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，委托方将视其为不诚信行为，并作为无故弃选处理，取消其承担方资格，没收竞选保证金。</w:t>
      </w:r>
    </w:p>
    <w:p w14:paraId="76A9366F">
      <w:pPr>
        <w:snapToGrid w:val="0"/>
        <w:spacing w:line="560" w:lineRule="exact"/>
        <w:ind w:firstLine="440" w:firstLineChars="200"/>
        <w:rPr>
          <w:rFonts w:ascii="宋体" w:eastAsia="宋体" w:cs="Arial"/>
          <w:b w:val="0"/>
          <w:bCs w:val="0"/>
          <w:color w:val="auto"/>
          <w:spacing w:val="0"/>
          <w:sz w:val="22"/>
          <w:szCs w:val="22"/>
          <w:highlight w:val="none"/>
        </w:rPr>
      </w:pPr>
      <w:r>
        <w:rPr>
          <w:rFonts w:ascii="宋体" w:eastAsia="宋体" w:cs="Arial"/>
          <w:b w:val="0"/>
          <w:bCs w:val="0"/>
          <w:color w:val="auto"/>
          <w:spacing w:val="0"/>
          <w:sz w:val="22"/>
          <w:szCs w:val="22"/>
          <w:highlight w:val="none"/>
        </w:rPr>
        <w:t>7.6</w:t>
      </w:r>
      <w:r>
        <w:rPr>
          <w:rFonts w:ascii="宋体" w:eastAsia="宋体" w:cs="Arial"/>
          <w:bCs w:val="0"/>
          <w:color w:val="auto"/>
          <w:sz w:val="22"/>
          <w:szCs w:val="22"/>
          <w:highlight w:val="none"/>
        </w:rPr>
        <w:t>低价风险保证金</w:t>
      </w:r>
      <w:r>
        <w:rPr>
          <w:rFonts w:ascii="宋体" w:eastAsia="宋体" w:cs="Arial"/>
          <w:b w:val="0"/>
          <w:bCs w:val="0"/>
          <w:color w:val="auto"/>
          <w:spacing w:val="0"/>
          <w:sz w:val="22"/>
          <w:szCs w:val="22"/>
          <w:highlight w:val="none"/>
        </w:rPr>
        <w:t>的退还时间：提交所有合格的监控量测报告后14天内无息退还。</w:t>
      </w:r>
    </w:p>
    <w:p w14:paraId="56537EB9">
      <w:pPr>
        <w:pStyle w:val="2"/>
        <w:snapToGrid w:val="0"/>
        <w:spacing w:line="560" w:lineRule="exact"/>
        <w:ind w:firstLine="440" w:firstLineChars="200"/>
        <w:rPr>
          <w:rFonts w:ascii="宋体" w:eastAsia="宋体" w:cs="Arial"/>
          <w:b w:val="0"/>
          <w:bCs w:val="0"/>
          <w:color w:val="auto"/>
          <w:spacing w:val="0"/>
          <w:sz w:val="22"/>
          <w:szCs w:val="22"/>
          <w:highlight w:val="none"/>
        </w:rPr>
      </w:pPr>
      <w:r>
        <w:rPr>
          <w:rFonts w:ascii="宋体" w:hAnsi="Times New Roman" w:cs="Arial"/>
          <w:color w:val="auto"/>
          <w:sz w:val="22"/>
          <w:szCs w:val="22"/>
          <w:highlight w:val="none"/>
        </w:rPr>
        <w:t>7.7担保范围：</w:t>
      </w:r>
      <w:r>
        <w:rPr>
          <w:rFonts w:hint="default" w:ascii="宋体" w:hAnsi="Times New Roman" w:cs="Arial"/>
          <w:color w:val="auto"/>
          <w:spacing w:val="0"/>
          <w:sz w:val="22"/>
          <w:szCs w:val="22"/>
          <w:highlight w:val="none"/>
        </w:rPr>
        <w:t>承担方未按照</w:t>
      </w:r>
      <w:r>
        <w:rPr>
          <w:rFonts w:ascii="宋体" w:hAnsi="Times New Roman" w:cs="Arial"/>
          <w:color w:val="auto"/>
          <w:spacing w:val="0"/>
          <w:sz w:val="22"/>
          <w:szCs w:val="22"/>
          <w:highlight w:val="none"/>
        </w:rPr>
        <w:t>中选</w:t>
      </w:r>
      <w:r>
        <w:rPr>
          <w:rFonts w:hint="default" w:ascii="宋体" w:hAnsi="Times New Roman" w:cs="Arial"/>
          <w:color w:val="auto"/>
          <w:spacing w:val="0"/>
          <w:sz w:val="22"/>
          <w:szCs w:val="22"/>
          <w:highlight w:val="none"/>
        </w:rPr>
        <w:t>通知书、</w:t>
      </w:r>
      <w:r>
        <w:rPr>
          <w:rFonts w:ascii="宋体" w:hAnsi="Times New Roman" w:cs="Arial"/>
          <w:color w:val="auto"/>
          <w:spacing w:val="0"/>
          <w:sz w:val="22"/>
          <w:szCs w:val="22"/>
          <w:highlight w:val="none"/>
        </w:rPr>
        <w:t>比选</w:t>
      </w:r>
      <w:r>
        <w:rPr>
          <w:rFonts w:hint="default" w:ascii="宋体" w:hAnsi="Times New Roman" w:cs="Arial"/>
          <w:color w:val="auto"/>
          <w:spacing w:val="0"/>
          <w:sz w:val="22"/>
          <w:szCs w:val="22"/>
          <w:highlight w:val="none"/>
        </w:rPr>
        <w:t>文件和投标</w:t>
      </w:r>
      <w:r>
        <w:rPr>
          <w:rFonts w:ascii="宋体" w:hAnsi="Times New Roman" w:cs="Arial"/>
          <w:color w:val="auto"/>
          <w:spacing w:val="0"/>
          <w:sz w:val="22"/>
          <w:szCs w:val="22"/>
          <w:highlight w:val="none"/>
        </w:rPr>
        <w:t>竞选</w:t>
      </w:r>
      <w:r>
        <w:rPr>
          <w:rFonts w:hint="default" w:ascii="宋体" w:hAnsi="Times New Roman" w:cs="Arial"/>
          <w:color w:val="auto"/>
          <w:spacing w:val="0"/>
          <w:sz w:val="22"/>
          <w:szCs w:val="22"/>
          <w:highlight w:val="none"/>
        </w:rPr>
        <w:t>文件约定与委托人签订合同或未按签订合同的约定履行相关义务，应当向委托人承担的违约责任和赔偿因此造成的一切损失、利息等，以及委托人为实现前述债权而支出的律师费、仲裁费/诉讼费、差旅费、保全担保费、保全费、执行费、鉴定费等实现债权的全部费用</w:t>
      </w:r>
      <w:r>
        <w:rPr>
          <w:rFonts w:ascii="宋体" w:hAnsi="Times New Roman" w:cs="Arial"/>
          <w:color w:val="auto"/>
          <w:spacing w:val="0"/>
          <w:sz w:val="22"/>
          <w:szCs w:val="22"/>
          <w:highlight w:val="none"/>
        </w:rPr>
        <w:t>。</w:t>
      </w:r>
    </w:p>
    <w:p w14:paraId="7F90E3C9">
      <w:pPr>
        <w:spacing w:line="560" w:lineRule="exact"/>
        <w:jc w:val="left"/>
        <w:outlineLvl w:val="1"/>
        <w:rPr>
          <w:rFonts w:ascii="宋体" w:eastAsia="宋体" w:cs="宋体"/>
          <w:b/>
          <w:bCs/>
          <w:color w:val="auto"/>
          <w:szCs w:val="21"/>
          <w:highlight w:val="none"/>
        </w:rPr>
      </w:pPr>
      <w:r>
        <w:rPr>
          <w:rFonts w:ascii="宋体" w:eastAsia="宋体" w:cs="宋体"/>
          <w:b/>
          <w:bCs/>
          <w:color w:val="auto"/>
          <w:spacing w:val="5"/>
          <w:szCs w:val="21"/>
          <w:highlight w:val="none"/>
        </w:rPr>
        <w:t>第八条</w:t>
      </w:r>
      <w:r>
        <w:rPr>
          <w:rFonts w:ascii="宋体" w:eastAsia="宋体" w:cs="宋体"/>
          <w:b/>
          <w:bCs/>
          <w:color w:val="auto"/>
          <w:spacing w:val="-5"/>
          <w:szCs w:val="21"/>
          <w:highlight w:val="none"/>
        </w:rPr>
        <w:t xml:space="preserve"> </w:t>
      </w:r>
      <w:r>
        <w:rPr>
          <w:rFonts w:ascii="宋体" w:eastAsia="宋体" w:cs="宋体"/>
          <w:b/>
          <w:bCs/>
          <w:color w:val="auto"/>
          <w:spacing w:val="5"/>
          <w:szCs w:val="21"/>
          <w:highlight w:val="none"/>
        </w:rPr>
        <w:t>合同费用及支付方式</w:t>
      </w:r>
    </w:p>
    <w:p w14:paraId="4315299F">
      <w:pPr>
        <w:snapToGrid w:val="0"/>
        <w:spacing w:line="560" w:lineRule="exact"/>
        <w:ind w:left="0" w:right="0" w:firstLine="440" w:firstLineChars="200"/>
        <w:rPr>
          <w:rFonts w:ascii="宋体" w:eastAsia="宋体" w:cs="Arial"/>
          <w:color w:val="auto"/>
          <w:sz w:val="22"/>
          <w:szCs w:val="22"/>
          <w:highlight w:val="none"/>
        </w:rPr>
      </w:pPr>
      <w:r>
        <w:rPr>
          <w:rFonts w:ascii="宋体" w:eastAsia="宋体" w:cs="Arial"/>
          <w:color w:val="auto"/>
          <w:spacing w:val="0"/>
          <w:sz w:val="22"/>
          <w:szCs w:val="22"/>
          <w:highlight w:val="none"/>
        </w:rPr>
        <w:t>8.1 合同费用：合同含税</w:t>
      </w:r>
      <w:r>
        <w:rPr>
          <w:rFonts w:ascii="宋体" w:eastAsia="宋体" w:cs="Arial"/>
          <w:color w:val="auto"/>
          <w:spacing w:val="0"/>
          <w:sz w:val="22"/>
          <w:szCs w:val="22"/>
          <w:highlight w:val="none"/>
        </w:rPr>
        <w:t>包干</w:t>
      </w:r>
      <w:r>
        <w:rPr>
          <w:rFonts w:ascii="宋体" w:eastAsia="宋体" w:cs="Arial"/>
          <w:color w:val="auto"/>
          <w:spacing w:val="0"/>
          <w:sz w:val="22"/>
          <w:szCs w:val="22"/>
          <w:highlight w:val="none"/>
        </w:rPr>
        <w:t>金额为人民币</w:t>
      </w:r>
      <w:r>
        <w:rPr>
          <w:rFonts w:ascii="宋体" w:eastAsia="宋体" w:cs="Arial"/>
          <w:color w:val="auto"/>
          <w:spacing w:val="0"/>
          <w:sz w:val="22"/>
          <w:szCs w:val="22"/>
          <w:highlight w:val="none"/>
          <w:u w:val="none"/>
        </w:rPr>
        <w:t xml:space="preserve">                      </w:t>
      </w:r>
      <w:r>
        <w:rPr>
          <w:rFonts w:ascii="宋体" w:eastAsia="宋体" w:cs="Arial"/>
          <w:color w:val="auto"/>
          <w:spacing w:val="0"/>
          <w:sz w:val="22"/>
          <w:szCs w:val="22"/>
          <w:highlight w:val="none"/>
        </w:rPr>
        <w:t>元（大写：</w:t>
      </w:r>
      <w:r>
        <w:rPr>
          <w:rFonts w:ascii="宋体" w:eastAsia="宋体" w:cs="Arial"/>
          <w:color w:val="auto"/>
          <w:spacing w:val="0"/>
          <w:sz w:val="22"/>
          <w:szCs w:val="22"/>
          <w:highlight w:val="none"/>
          <w:u w:val="none"/>
        </w:rPr>
        <w:t xml:space="preserve">                       </w:t>
      </w:r>
      <w:r>
        <w:rPr>
          <w:rFonts w:ascii="宋体" w:eastAsia="宋体" w:cs="Arial"/>
          <w:color w:val="auto"/>
          <w:spacing w:val="0"/>
          <w:sz w:val="22"/>
          <w:szCs w:val="22"/>
          <w:highlight w:val="none"/>
        </w:rPr>
        <w:t>）</w:t>
      </w:r>
      <w:r>
        <w:rPr>
          <w:rFonts w:ascii="宋体" w:eastAsia="宋体" w:cs="Arial"/>
          <w:snapToGrid/>
          <w:color w:val="auto"/>
          <w:sz w:val="22"/>
          <w:szCs w:val="22"/>
          <w:highlight w:val="none"/>
        </w:rPr>
        <w:t>，其中不含税金额为人民币     元（大写：      元整），税率为xx%，如本合同履行期间，遇国家相关规定或政策文件发生税率调整的，则按调整后的税率确定税金</w:t>
      </w:r>
      <w:r>
        <w:rPr>
          <w:rFonts w:ascii="宋体" w:eastAsia="宋体" w:cs="Arial"/>
          <w:color w:val="auto"/>
          <w:spacing w:val="0"/>
          <w:sz w:val="22"/>
          <w:szCs w:val="22"/>
          <w:highlight w:val="none"/>
        </w:rPr>
        <w:t>。</w:t>
      </w:r>
    </w:p>
    <w:p w14:paraId="2749A02B">
      <w:pPr>
        <w:snapToGrid w:val="0"/>
        <w:spacing w:line="560" w:lineRule="exact"/>
        <w:ind w:firstLine="440" w:firstLineChars="200"/>
        <w:rPr>
          <w:rFonts w:ascii="宋体" w:eastAsia="宋体" w:cs="Arial"/>
          <w:color w:val="auto"/>
          <w:sz w:val="22"/>
          <w:szCs w:val="22"/>
          <w:highlight w:val="none"/>
        </w:rPr>
      </w:pPr>
      <w:r>
        <w:rPr>
          <w:rFonts w:ascii="宋体" w:eastAsia="宋体" w:cs="Arial"/>
          <w:color w:val="auto"/>
          <w:spacing w:val="0"/>
          <w:sz w:val="22"/>
          <w:szCs w:val="22"/>
          <w:highlight w:val="none"/>
        </w:rPr>
        <w:t>8.2 合同费用计价原则：</w:t>
      </w:r>
    </w:p>
    <w:p w14:paraId="2D87B290">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spacing w:val="0"/>
          <w:sz w:val="22"/>
          <w:szCs w:val="22"/>
          <w:highlight w:val="none"/>
        </w:rPr>
        <w:t xml:space="preserve">8.2.1 </w:t>
      </w:r>
      <w:r>
        <w:rPr>
          <w:rFonts w:ascii="宋体" w:eastAsia="宋体" w:cs="Arial"/>
          <w:color w:val="auto"/>
          <w:kern w:val="0"/>
          <w:sz w:val="22"/>
          <w:szCs w:val="22"/>
          <w:highlight w:val="none"/>
        </w:rPr>
        <w:t>本次投标报价为</w:t>
      </w:r>
      <w:r>
        <w:rPr>
          <w:rFonts w:ascii="宋体" w:eastAsia="宋体" w:cs="Arial"/>
          <w:color w:val="auto"/>
          <w:kern w:val="0"/>
          <w:sz w:val="22"/>
          <w:szCs w:val="22"/>
          <w:highlight w:val="none"/>
        </w:rPr>
        <w:t>总价</w:t>
      </w:r>
      <w:r>
        <w:rPr>
          <w:rFonts w:ascii="宋体" w:eastAsia="宋体" w:cs="Arial"/>
          <w:color w:val="auto"/>
          <w:kern w:val="0"/>
          <w:sz w:val="22"/>
          <w:szCs w:val="22"/>
          <w:highlight w:val="none"/>
        </w:rPr>
        <w:t>包干报价，报价按依据《工程勘察设计收费管理规定》的通知计价格【2002】10号文件里面关于测量的收费条款，并根据监测方案、国家有关监测费用定额结合自身实力，合理报价。报价中应包含监测人员、设备、材料、管理费、外业监测、数据处理、提交资料，与设计单位、施工单位的配合、后续服务、风险、责任、利润、税金等完成监测内容所涉及的一切费用。</w:t>
      </w:r>
    </w:p>
    <w:p w14:paraId="0D87DE81">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8.2.2 本工程投标报价应综合考虑承担方派驻现场所有人员的住宿费、水电费、交通费、通讯费、税金、利润、开办费、技术措施费、机械设备进出场费、管理费、外业监测、数据处理、提交资料，与设计单位、施工单位的配合、后续服务、风险费、政策性文件规定费用等一切因实施本工程监测服务产生的全部费用。本工程监测费用在合同实施期间不因工程的工期延长等因素而调整。</w:t>
      </w:r>
    </w:p>
    <w:p w14:paraId="50B700A4">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8.2.3 承担方的投标报价，应是完成合同条款上所列比选项目范围及监测服务期内的全部，不得以任何理由予以重复，作为承担方计算监测费总价的依据。</w:t>
      </w:r>
    </w:p>
    <w:p w14:paraId="35DB4CB8">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8.2.4 承担方必须严格按照图纸和委托方的要求提供服务，并符合现行的相关规范的要求。否则，一切后果由承担方负责。凡服务中出现质量问题，承担方必须无条件按委托方提出的整改方案处理，整改所需费用由承担方负责，否则，视承担方违约，一切损失和后果由承担方负责。</w:t>
      </w:r>
    </w:p>
    <w:p w14:paraId="0FD1A1F7">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8.2.5 承担方的监测方案必须满足相关规范和设计要求，如果需要监测项目的施工方案发生变更，承担方的监测方案和测试内容应作相应调整，但监测费用不变。委托方、设计单位、施工单位最终审查通过的施工监测方案或测试内容有可能由于施工要求或专家评审等原因在施工过程中进行调整（如增加布点和监测频率等），承担方应无条件接受并考虑该风险，委托方并不会因此增加监测费用。</w:t>
      </w:r>
    </w:p>
    <w:p w14:paraId="0F4F9354">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8.2.6 承担方可先到工地踏勘以充分了解工地位置、情况、道路、储存空间、装卸限制及任何其他足以影响承包价的情况，任何因忽视或误解工地情况而导致的索赔申请将不被批准。</w:t>
      </w:r>
    </w:p>
    <w:p w14:paraId="2FE32228">
      <w:pPr>
        <w:snapToGrid w:val="0"/>
        <w:spacing w:line="560" w:lineRule="exact"/>
        <w:ind w:firstLine="440" w:firstLineChars="200"/>
        <w:rPr>
          <w:rFonts w:ascii="宋体" w:eastAsia="宋体" w:cs="Arial"/>
          <w:color w:val="auto"/>
          <w:sz w:val="22"/>
          <w:szCs w:val="22"/>
          <w:highlight w:val="none"/>
        </w:rPr>
      </w:pPr>
      <w:r>
        <w:rPr>
          <w:rFonts w:ascii="宋体" w:eastAsia="宋体" w:cs="Arial"/>
          <w:color w:val="auto"/>
          <w:spacing w:val="0"/>
          <w:sz w:val="22"/>
          <w:szCs w:val="22"/>
          <w:highlight w:val="none"/>
        </w:rPr>
        <w:t>8.3 合同费用支付方式：</w:t>
      </w:r>
    </w:p>
    <w:p w14:paraId="0D4865BB">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（1）监测人员、设备进场完成报务及监测方案完成审批后30日内支付本项目监测合同金额的 20%；</w:t>
      </w:r>
    </w:p>
    <w:p w14:paraId="165322A6">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（2）本项目竣工验收合格后30日内，累计支付至本项目监测合同金额的 50%；项目竣工验收合格以出具真实、合格的第三方监测成果资料为准。</w:t>
      </w:r>
    </w:p>
    <w:p w14:paraId="01277A4B">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w:t>
      </w:r>
      <w:r>
        <w:rPr>
          <w:rFonts w:ascii="宋体" w:eastAsia="宋体" w:cs="Arial"/>
          <w:color w:val="auto"/>
          <w:kern w:val="0"/>
          <w:sz w:val="22"/>
          <w:szCs w:val="22"/>
          <w:highlight w:val="none"/>
        </w:rPr>
        <w:t>3</w:t>
      </w:r>
      <w:r>
        <w:rPr>
          <w:rFonts w:ascii="宋体" w:eastAsia="宋体" w:cs="Arial"/>
          <w:color w:val="auto"/>
          <w:kern w:val="0"/>
          <w:sz w:val="22"/>
          <w:szCs w:val="22"/>
          <w:highlight w:val="none"/>
        </w:rPr>
        <w:t>）本项目监测合同内容完成、合同终止，且监测资料移交并办理结算后，支付至合同结算金额的100%，所有支付均不计利息。</w:t>
      </w:r>
    </w:p>
    <w:p w14:paraId="1FD5CDF5">
      <w:pPr>
        <w:adjustRightInd/>
        <w:snapToGrid w:val="0"/>
        <w:spacing w:line="560" w:lineRule="exact"/>
        <w:ind w:firstLine="440" w:firstLineChars="200"/>
        <w:jc w:val="left"/>
        <w:rPr>
          <w:rFonts w:ascii="宋体" w:eastAsia="宋体" w:cs="Arial"/>
          <w:color w:val="auto"/>
          <w:kern w:val="0"/>
          <w:sz w:val="22"/>
          <w:szCs w:val="22"/>
          <w:highlight w:val="none"/>
        </w:rPr>
      </w:pPr>
      <w:r>
        <w:rPr>
          <w:rFonts w:ascii="宋体" w:eastAsia="宋体" w:cs="Arial"/>
          <w:color w:val="auto"/>
          <w:kern w:val="0"/>
          <w:sz w:val="22"/>
          <w:szCs w:val="22"/>
          <w:highlight w:val="none"/>
        </w:rPr>
        <w:t>（</w:t>
      </w:r>
      <w:r>
        <w:rPr>
          <w:rFonts w:ascii="宋体" w:eastAsia="宋体" w:cs="Arial"/>
          <w:color w:val="auto"/>
          <w:kern w:val="0"/>
          <w:sz w:val="22"/>
          <w:szCs w:val="22"/>
          <w:highlight w:val="none"/>
        </w:rPr>
        <w:t>4</w:t>
      </w:r>
      <w:r>
        <w:rPr>
          <w:rFonts w:ascii="宋体" w:eastAsia="宋体" w:cs="Arial"/>
          <w:color w:val="auto"/>
          <w:kern w:val="0"/>
          <w:sz w:val="22"/>
          <w:szCs w:val="22"/>
          <w:highlight w:val="none"/>
        </w:rPr>
        <w:t>）委托方每次付款的 15 个工作日前，承担方应当提交付款申请、证明文件及合法足额增值税专用发票。因承担方未按时提供上述付款申请材料而致使委托方迟延付款的，委托方不承担延迟付款的违约责任。</w:t>
      </w:r>
    </w:p>
    <w:p w14:paraId="0F360B9B">
      <w:pPr>
        <w:spacing w:line="600" w:lineRule="exact"/>
        <w:ind w:firstLine="480" w:firstLineChars="200"/>
        <w:rPr>
          <w:rFonts w:ascii="宋体"/>
          <w:bCs/>
          <w:snapToGrid w:val="0"/>
          <w:color w:val="auto"/>
          <w:szCs w:val="21"/>
          <w:highlight w:val="none"/>
        </w:rPr>
      </w:pPr>
      <w:r>
        <w:rPr>
          <w:rFonts w:hint="eastAsia" w:ascii="宋体"/>
          <w:bCs/>
          <w:snapToGrid w:val="0"/>
          <w:color w:val="auto"/>
          <w:szCs w:val="21"/>
          <w:highlight w:val="none"/>
        </w:rPr>
        <w:t>乙方确认并知悉：本合同项下的全部付款义务均由项目业主承担，即代理业主不承担任何付款义务。乙方承诺不因项目业主未如约履行付款义务而追究代理业主的违约责任，否则由此给代理业主造成的一切损失（包括但不限于律师费、保全担保费、案件受理费、鉴定费、公证费）由乙方足额承担。</w:t>
      </w:r>
    </w:p>
    <w:p w14:paraId="4DFFAF38">
      <w:pPr>
        <w:pStyle w:val="2"/>
        <w:adjustRightInd/>
        <w:snapToGrid w:val="0"/>
        <w:spacing w:line="560" w:lineRule="exact"/>
        <w:ind w:firstLine="480" w:firstLineChars="200"/>
        <w:jc w:val="left"/>
        <w:rPr>
          <w:rFonts w:ascii="Calibri" w:eastAsia="宋体" w:cs="Times New Roman"/>
          <w:color w:val="auto"/>
          <w:kern w:val="0"/>
          <w:sz w:val="24"/>
          <w:szCs w:val="24"/>
          <w:highlight w:val="none"/>
        </w:rPr>
      </w:pPr>
      <w:r>
        <w:rPr>
          <w:rFonts w:ascii="宋体"/>
          <w:bCs/>
          <w:snapToGrid w:val="0"/>
          <w:color w:val="auto"/>
          <w:szCs w:val="21"/>
          <w:highlight w:val="none"/>
        </w:rPr>
        <w:t>本合同项下约定付款义务由</w:t>
      </w:r>
      <w:r>
        <w:rPr>
          <w:rFonts w:hint="eastAsia" w:ascii="宋体"/>
          <w:bCs/>
          <w:snapToGrid w:val="0"/>
          <w:color w:val="auto"/>
          <w:szCs w:val="21"/>
          <w:highlight w:val="none"/>
        </w:rPr>
        <w:t>重庆</w:t>
      </w:r>
      <w:r>
        <w:rPr>
          <w:rFonts w:ascii="宋体"/>
          <w:bCs/>
          <w:snapToGrid w:val="0"/>
          <w:color w:val="auto"/>
          <w:szCs w:val="21"/>
          <w:highlight w:val="none"/>
        </w:rPr>
        <w:t>西永微电子产业园区开发有限公司（项目业主）承担。由重庆科学城城市建设集团有限公司（代理业主）负责履行除付款以外的义务。</w:t>
      </w:r>
      <w:r>
        <w:rPr>
          <w:rFonts w:hint="eastAsia" w:ascii="宋体"/>
          <w:bCs/>
          <w:snapToGrid w:val="0"/>
          <w:color w:val="auto"/>
          <w:szCs w:val="21"/>
          <w:highlight w:val="none"/>
        </w:rPr>
        <w:t>重庆</w:t>
      </w:r>
      <w:r>
        <w:rPr>
          <w:rFonts w:ascii="宋体"/>
          <w:bCs/>
          <w:snapToGrid w:val="0"/>
          <w:color w:val="auto"/>
          <w:szCs w:val="21"/>
          <w:highlight w:val="none"/>
        </w:rPr>
        <w:t>西永微电子产业园区开发有限公司（项目业主）另有要求的，按项目业主要求执行。乙方向项目业主开具发票，若乙方未开具合法有效的发票，项目业主有权拒绝付款，且不承担违约责任。</w:t>
      </w:r>
    </w:p>
    <w:p w14:paraId="2DA435BD">
      <w:pPr>
        <w:spacing w:line="560" w:lineRule="exact"/>
        <w:jc w:val="left"/>
        <w:outlineLvl w:val="1"/>
        <w:rPr>
          <w:rFonts w:ascii="宋体" w:eastAsia="宋体" w:cs="宋体"/>
          <w:b/>
          <w:bCs/>
          <w:color w:val="auto"/>
          <w:spacing w:val="5"/>
          <w:szCs w:val="21"/>
          <w:highlight w:val="none"/>
        </w:rPr>
      </w:pPr>
      <w:r>
        <w:rPr>
          <w:rFonts w:ascii="宋体" w:eastAsia="宋体" w:cs="宋体"/>
          <w:b/>
          <w:bCs/>
          <w:color w:val="auto"/>
          <w:spacing w:val="5"/>
          <w:szCs w:val="21"/>
          <w:highlight w:val="none"/>
        </w:rPr>
        <w:t>第九条 委托方、承担方责任</w:t>
      </w:r>
    </w:p>
    <w:p w14:paraId="49D17D5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9.1 委托方责任</w:t>
      </w:r>
    </w:p>
    <w:p w14:paraId="4317776C">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9.1.1 委托方向承担方提供第三方监测的技术要求及相关资料。</w:t>
      </w:r>
    </w:p>
    <w:p w14:paraId="6489B378">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9.1.2 对第三方监测有特殊要求或变更时，应以书面形式通知承担方。</w:t>
      </w:r>
    </w:p>
    <w:p w14:paraId="7277E707">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9.1.3有权对委托方认为不称职的承担方现场代表提出要求更换的权利。</w:t>
      </w:r>
    </w:p>
    <w:p w14:paraId="3BDB2267">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9.1.5有权监督承担方办理参加本次试验工作人员的意外保险和工伤保险，费用由承担方自行承担。</w:t>
      </w:r>
    </w:p>
    <w:p w14:paraId="21D0FF67">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9.1.6 按本合同约定支付监测费用。</w:t>
      </w:r>
    </w:p>
    <w:p w14:paraId="69B58580">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9.1.7合同履行期间，委托方有权因项目需要或自身原因而要求停止监控、试验工作或解除合同。合同自解除通知送达之日起解除，解除异议期为7天。</w:t>
      </w:r>
    </w:p>
    <w:p w14:paraId="5BE02B2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9.2 承担方责任</w:t>
      </w:r>
    </w:p>
    <w:p w14:paraId="16121C62">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9.2.1 承担方严格按国家及地方相关的技术规范、标准及委托方的有关规定进行工程第三方监测。</w:t>
      </w:r>
    </w:p>
    <w:p w14:paraId="6736F8D3">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9.2.2 承担方应按时完成各项第三方监测，确保监测数据的准确、可靠。</w:t>
      </w:r>
    </w:p>
    <w:p w14:paraId="6010622B">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9.2.3 出具真实、合格的第三方监测成果资料，并对第三方监测成果的质量负相关责任。</w:t>
      </w:r>
    </w:p>
    <w:p w14:paraId="2C068201">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z w:val="22"/>
          <w:szCs w:val="22"/>
          <w:highlight w:val="none"/>
        </w:rPr>
        <w:t>9.2.4 承担方在第三方监测中出现差错， 按合同比例承担差错部分给委托方所造成的相关经济损失。</w:t>
      </w:r>
      <w:r>
        <w:rPr>
          <w:rFonts w:ascii="宋体" w:eastAsia="宋体" w:cs="Arial"/>
          <w:bCs w:val="0"/>
          <w:color w:val="auto"/>
          <w:spacing w:val="0"/>
          <w:sz w:val="22"/>
          <w:szCs w:val="22"/>
          <w:highlight w:val="none"/>
        </w:rPr>
        <w:t xml:space="preserve"> 9.2.5 在第三方监测过程中承担方必须接受现场监理和委托方现场代表的监督管理和旁站。</w:t>
      </w:r>
    </w:p>
    <w:p w14:paraId="34B43F0B">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9.2.6 指派（姓名：</w:t>
      </w:r>
      <w:r>
        <w:rPr>
          <w:rFonts w:ascii="宋体" w:eastAsia="宋体" w:cs="Arial"/>
          <w:bCs w:val="0"/>
          <w:color w:val="auto"/>
          <w:sz w:val="22"/>
          <w:szCs w:val="22"/>
          <w:highlight w:val="none"/>
          <w:u w:val="none"/>
        </w:rPr>
        <w:t xml:space="preserve">            </w:t>
      </w:r>
      <w:r>
        <w:rPr>
          <w:rFonts w:ascii="宋体" w:eastAsia="宋体" w:cs="Arial"/>
          <w:bCs w:val="0"/>
          <w:color w:val="auto"/>
          <w:sz w:val="22"/>
          <w:szCs w:val="22"/>
          <w:highlight w:val="none"/>
        </w:rPr>
        <w:t xml:space="preserve"> 执业资格及等级：</w:t>
      </w:r>
      <w:r>
        <w:rPr>
          <w:rFonts w:ascii="宋体" w:eastAsia="宋体" w:cs="Arial"/>
          <w:bCs w:val="0"/>
          <w:color w:val="auto"/>
          <w:sz w:val="22"/>
          <w:szCs w:val="22"/>
          <w:highlight w:val="none"/>
          <w:u w:val="none"/>
        </w:rPr>
        <w:t xml:space="preserve">             </w:t>
      </w:r>
      <w:r>
        <w:rPr>
          <w:rFonts w:ascii="宋体" w:eastAsia="宋体" w:cs="Arial"/>
          <w:bCs w:val="0"/>
          <w:color w:val="auto"/>
          <w:sz w:val="22"/>
          <w:szCs w:val="22"/>
          <w:highlight w:val="none"/>
        </w:rPr>
        <w:t>注册证书号：</w:t>
      </w:r>
      <w:r>
        <w:rPr>
          <w:rFonts w:ascii="宋体" w:eastAsia="宋体" w:cs="Arial"/>
          <w:bCs w:val="0"/>
          <w:color w:val="auto"/>
          <w:sz w:val="22"/>
          <w:szCs w:val="22"/>
          <w:highlight w:val="none"/>
          <w:u w:val="none"/>
        </w:rPr>
        <w:t xml:space="preserve">              </w:t>
      </w:r>
      <w:r>
        <w:rPr>
          <w:rFonts w:ascii="宋体" w:eastAsia="宋体" w:cs="Arial"/>
          <w:bCs w:val="0"/>
          <w:color w:val="auto"/>
          <w:sz w:val="22"/>
          <w:szCs w:val="22"/>
          <w:highlight w:val="none"/>
        </w:rPr>
        <w:t>联系方式：</w:t>
      </w:r>
      <w:r>
        <w:rPr>
          <w:rFonts w:ascii="宋体" w:eastAsia="宋体" w:cs="Arial"/>
          <w:bCs w:val="0"/>
          <w:color w:val="auto"/>
          <w:sz w:val="22"/>
          <w:szCs w:val="22"/>
          <w:highlight w:val="none"/>
          <w:u w:val="none"/>
        </w:rPr>
        <w:t xml:space="preserve">             </w:t>
      </w:r>
      <w:r>
        <w:rPr>
          <w:rFonts w:ascii="宋体" w:eastAsia="宋体" w:cs="Arial"/>
          <w:bCs w:val="0"/>
          <w:color w:val="auto"/>
          <w:sz w:val="22"/>
          <w:szCs w:val="22"/>
          <w:highlight w:val="none"/>
        </w:rPr>
        <w:t xml:space="preserve"> 电子邮箱：</w:t>
      </w:r>
      <w:r>
        <w:rPr>
          <w:rFonts w:ascii="宋体" w:eastAsia="宋体" w:cs="Arial"/>
          <w:bCs w:val="0"/>
          <w:color w:val="auto"/>
          <w:sz w:val="22"/>
          <w:szCs w:val="22"/>
          <w:highlight w:val="none"/>
          <w:u w:val="none"/>
        </w:rPr>
        <w:t xml:space="preserve">               </w:t>
      </w:r>
      <w:r>
        <w:rPr>
          <w:rFonts w:ascii="宋体" w:eastAsia="宋体" w:cs="Arial"/>
          <w:bCs w:val="0"/>
          <w:color w:val="auto"/>
          <w:sz w:val="22"/>
          <w:szCs w:val="22"/>
          <w:highlight w:val="none"/>
        </w:rPr>
        <w:t>）为现场代表，负责合同履行，按要求组织监测，解决由承担方负责的各项事宜。承担方中途更换现场代表，应提出书面申请征得委托方和监理单位书面同意后方可换人。</w:t>
      </w:r>
    </w:p>
    <w:p w14:paraId="2F27516F">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9.2.7 提出监测方案，并报委托方审核确认。</w:t>
      </w:r>
    </w:p>
    <w:p w14:paraId="1D7F9F6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9.2.8 必须在规定日期内进入施工场地，严格本合同约定开展监测工作，保证监测质量，及时提交监测报告。</w:t>
      </w:r>
    </w:p>
    <w:p w14:paraId="6DED88F3">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9.2.9 负责为施工现场人员办理人身意外伤害保险、工伤保险和第三者责任险。因承担方原因造成任何人员伤亡（包括第三方人员伤亡在内），所造成的依法应该支付的损失赔偿费、抚恤费等费用和法律责任均由承担方承担。给委托方造成损失的（包括但不限于声誉及经济损失），承担方还应进行赔偿。</w:t>
      </w:r>
    </w:p>
    <w:p w14:paraId="0F8C73D2">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9.2.10 现场所使用材料、仪器设备的保管由承担方自行负责。</w:t>
      </w:r>
    </w:p>
    <w:p w14:paraId="590ED934">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9.2.11 承担方除应履行本合同各项义务外，还须执行委托方安全生产、文明施工方面的规章制度，服从委托方代表对承担方安全生产、文明施工及执行各项规章制度方面的检查及奖罚，承担方违反委托方规章制度而给委托方造成损失的，承担方应当赔偿。</w:t>
      </w:r>
    </w:p>
    <w:p w14:paraId="0F7F6357">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9.2.12 承担方对监测方案和数量负责，如施工图范围内因监测数量不够而达不到规范要求，承担方自行补足监测数量，不另增加费用；如实际监测数量比合同要求数量少或者取消合同中某项监测内容，则按合同约定相应扣减费用。</w:t>
      </w:r>
    </w:p>
    <w:p w14:paraId="565366AB">
      <w:pPr>
        <w:spacing w:line="600" w:lineRule="exact"/>
        <w:ind w:firstLine="480" w:firstLineChars="200"/>
        <w:rPr>
          <w:rFonts w:hint="eastAsia" w:ascii="Times New Roman" w:hAnsi="Times New Roman" w:eastAsia="宋体" w:cs="宋体"/>
          <w:b w:val="0"/>
          <w:bCs/>
          <w:color w:val="auto"/>
          <w:spacing w:val="0"/>
          <w:szCs w:val="24"/>
          <w:highlight w:val="none"/>
        </w:rPr>
      </w:pPr>
      <w:r>
        <w:rPr>
          <w:rFonts w:hint="eastAsia" w:ascii="Times New Roman" w:hAnsi="Times New Roman" w:eastAsia="宋体" w:cs="宋体"/>
          <w:b w:val="0"/>
          <w:bCs/>
          <w:color w:val="auto"/>
          <w:spacing w:val="0"/>
          <w:szCs w:val="24"/>
          <w:highlight w:val="none"/>
        </w:rPr>
        <w:t>第十条 违约责任</w:t>
      </w:r>
    </w:p>
    <w:p w14:paraId="18BEA790">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 承担方不按委托方通知的时间进场监测的，承担方每日按合同暂定总价款的千分之五向委托方承担违约责任；承担方不按委托方通知的时间进场开工监测超过3天的，承担方按合同暂定总价款10%向委托方承担违约责任；承担方不按委托方通知的时间进场开工监测超过10天，委托方有权单方解除合同，合同解除后，承担方应另向委托方支付合同暂定总价款的20%作为违约金，且委托方将没收履约保证金和低价风险保证金。</w:t>
      </w:r>
    </w:p>
    <w:p w14:paraId="43BE560F">
      <w:pPr>
        <w:snapToGrid w:val="0"/>
        <w:spacing w:line="560" w:lineRule="exact"/>
        <w:ind w:firstLine="440" w:firstLineChars="200"/>
        <w:rPr>
          <w:rFonts w:ascii="宋体" w:eastAsia="宋体" w:cs="Arial"/>
          <w:bCs w:val="0"/>
          <w:color w:val="auto"/>
          <w:spacing w:val="0"/>
          <w:kern w:val="0"/>
          <w:sz w:val="22"/>
          <w:szCs w:val="22"/>
          <w:highlight w:val="none"/>
        </w:rPr>
      </w:pPr>
      <w:r>
        <w:rPr>
          <w:rFonts w:ascii="宋体" w:eastAsia="宋体" w:cs="Arial"/>
          <w:bCs w:val="0"/>
          <w:color w:val="auto"/>
          <w:sz w:val="22"/>
          <w:szCs w:val="22"/>
          <w:highlight w:val="none"/>
        </w:rPr>
        <w:t>10.2 承担方应在合同签订之日起3日内向委托方提交监测方案，逾期提供的，承担方每逾期一日承担合同暂定总价5‰的违约金，逾期5日未向委托方提交监测方案的，委托方有权解除合同，要求承担方赔偿损失并承担合同暂定总价20%的违约金。</w:t>
      </w:r>
    </w:p>
    <w:p w14:paraId="5D982CA0">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10.3</w:t>
      </w:r>
      <w:r>
        <w:rPr>
          <w:rFonts w:ascii="宋体" w:eastAsia="宋体" w:cs="Arial"/>
          <w:bCs w:val="0"/>
          <w:color w:val="auto"/>
          <w:spacing w:val="0"/>
          <w:sz w:val="22"/>
          <w:szCs w:val="22"/>
          <w:highlight w:val="none"/>
        </w:rPr>
        <w:t xml:space="preserve"> </w:t>
      </w:r>
      <w:r>
        <w:rPr>
          <w:rFonts w:ascii="宋体" w:eastAsia="宋体" w:cs="Arial"/>
          <w:bCs w:val="0"/>
          <w:color w:val="auto"/>
          <w:sz w:val="22"/>
          <w:szCs w:val="22"/>
          <w:highlight w:val="none"/>
        </w:rPr>
        <w:t>合同履行期间，因委托方原因要求需停止监测、试验工作或解除合同时，按监测、试验完成且委托方认可的实</w:t>
      </w:r>
      <w:r>
        <w:rPr>
          <w:rFonts w:ascii="宋体" w:eastAsia="宋体" w:cs="Arial"/>
          <w:bCs w:val="0"/>
          <w:color w:val="auto"/>
          <w:spacing w:val="0"/>
          <w:sz w:val="22"/>
          <w:szCs w:val="22"/>
          <w:highlight w:val="none"/>
        </w:rPr>
        <w:t>际工作量支付费用，委托方不支付违约金，也不赔偿其他损失。</w:t>
      </w:r>
    </w:p>
    <w:p w14:paraId="5328182B">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10.4 委托方未按合同约定按时支付监测费，每逾期一日应支付合同暂定总价万分之二的违约金，违约金上限不超过应支付合同暂定总价的1%。因承担方原因导致委托方逾期支付的，委托方不承担逾期支付的违约责任。</w:t>
      </w:r>
    </w:p>
    <w:p w14:paraId="1842FA8E">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10.5 承担方接到委托方或施工方通知后，未按合同约定时限完成监测并出具合法有效的监测报告的，每逾期一日应支付合同暂定总价 5‰的违约金；逾期超过5天的，承担方按合同暂定总价的10%向委托方承担违约责任；</w:t>
      </w:r>
      <w:r>
        <w:rPr>
          <w:rFonts w:ascii="宋体" w:eastAsia="宋体" w:cs="Arial"/>
          <w:bCs w:val="0"/>
          <w:color w:val="auto"/>
          <w:sz w:val="22"/>
          <w:szCs w:val="22"/>
          <w:highlight w:val="none"/>
        </w:rPr>
        <w:t xml:space="preserve"> 逾期超过15天的，视为承担方严重违约，委托人有权单方解除本合同、要求承担方退还全部已付费用，并有权要求承担方赔偿其全部损失（包括但不限于委托方的直接经济损失以及为保障自身合法权益所支付的诉讼费、律师费、担保费、保全费、执行费、差旅费等），委托方还有权要求承担方按照签约合同暂定总价的30%支付违约金。</w:t>
      </w:r>
    </w:p>
    <w:p w14:paraId="2C496376">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 xml:space="preserve">10.6若承担方未按批准的第三方监测方案内容实施，视为承担方严重违约，委托方有权单方解除本合同、要求承担方退还全部已付费用，并有权要求承担方赔偿其全部损失（包括但不限于委托方的直接经济损失以及为保障自身合法权益所支付的诉讼费、律师费、担保费、保全费、执行费、差旅费等），委托方还有权要求承担方按照签约合同暂定总价的30%支付违约金。 </w:t>
      </w:r>
    </w:p>
    <w:p w14:paraId="4F4E5407">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10.7 承担方提供的第三方监测成果质量不符合本合同和相关规范要求，承担方负责无偿重测（试） ，</w:t>
      </w:r>
      <w:r>
        <w:rPr>
          <w:rFonts w:ascii="宋体" w:eastAsia="宋体" w:cs="Arial"/>
          <w:bCs w:val="0"/>
          <w:color w:val="auto"/>
          <w:sz w:val="22"/>
          <w:szCs w:val="22"/>
          <w:highlight w:val="none"/>
        </w:rPr>
        <w:t xml:space="preserve"> 以满足委托方的要求。若经过重测（试），但监测成果质量仍不符合上述要求的，视为承担方严重违约，委托方有权单方解除本合同、要求承担方退还全部已付费用，并有权要求承担方赔偿其全部损失（包括但不限于委托方的直接经济损失以及为保障自身合法权益所支付的诉讼费、律师费、担保费、保全费、执行费、差旅费等），委托方还有权要求承担方按照签约合同暂定总价的30%支付违约金，且将没收履约保证金和低价风险保证金。</w:t>
      </w:r>
    </w:p>
    <w:p w14:paraId="459F471F">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10.8 因承担方监测失误或因承担方监测造成安全质量事故的，承担方应立即采取补救措施，赔偿给委托方或第三人造成的直接损失，并按国家相关法律规定追究法律责任。</w:t>
      </w:r>
    </w:p>
    <w:p w14:paraId="23627DF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10.9 承担方对监测数据、监测报告的真实性、准确性负责，承担方监测数据、监测报告造假的，委托方有权解除合同，要求承担方赔偿全部损失并承担合同暂定总价30%的违约责任。</w:t>
      </w:r>
    </w:p>
    <w:p w14:paraId="32D90E8C">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10.9 承担方违法挂靠、违法转包、违法分包或未经委托方许可擅自分包的，委托方有权解除合同，并要求承担方赔偿由此给委托方造成的一切损失。</w:t>
      </w:r>
    </w:p>
    <w:p w14:paraId="56304429">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10.10 承担方发现施工现场存在异常情况后，未及时采取必要措施、通知各方而造成损失的，承担方按过错承担赔偿责任，情节严重的，委托方有权解除合同，要求承担方承担合同暂定总价30%的违约金。</w:t>
      </w:r>
    </w:p>
    <w:p w14:paraId="388D239B">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10.11由于承担方原因造成监测点次减少的，委托方有权要求承担方承担10万元/次的违约金、扣减监测费用、要求承担方按合同要求重新监测，并由承担方承担由此引起委托方的经济损失及技术责任。</w:t>
      </w:r>
    </w:p>
    <w:p w14:paraId="72698824">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10.12 承担方承诺在监测中使用的设备、技术知识产权不受任何第三方起诉，否则由此给委托方造成的一切损失由承担方承担。</w:t>
      </w:r>
    </w:p>
    <w:p w14:paraId="3C46970D">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10.13承担方派驻工地的现场代表不配合委托方工作或不能胜任工作的或不称职的，委托方有权要求承担方更换相应人员，承担方应在委托方要求更换之日起48小时内完成更换并向委托方提交新的人员名单，否则，委托方有权解除合同，合同解除后，承担方应退还委托方已支付的所有款项并另向委托方支付本合同暂定总价款20%的违约金，承担方已提交的成果资料所有权归委托方所有。</w:t>
      </w:r>
    </w:p>
    <w:p w14:paraId="78C1EBE8">
      <w:pPr>
        <w:snapToGrid w:val="0"/>
        <w:spacing w:line="560" w:lineRule="exact"/>
        <w:ind w:firstLine="440" w:firstLineChars="200"/>
        <w:rPr>
          <w:rFonts w:ascii="宋体" w:eastAsia="宋体" w:cs="Arial"/>
          <w:bCs w:val="0"/>
          <w:color w:val="auto"/>
          <w:spacing w:val="0"/>
          <w:kern w:val="0"/>
          <w:sz w:val="22"/>
          <w:szCs w:val="22"/>
          <w:highlight w:val="none"/>
        </w:rPr>
      </w:pPr>
      <w:r>
        <w:rPr>
          <w:rFonts w:ascii="宋体" w:eastAsia="宋体" w:cs="Arial"/>
          <w:bCs w:val="0"/>
          <w:color w:val="auto"/>
          <w:spacing w:val="0"/>
          <w:kern w:val="0"/>
          <w:sz w:val="22"/>
          <w:szCs w:val="22"/>
          <w:highlight w:val="none"/>
        </w:rPr>
        <w:t>10.14 未经委托方同意，承担方不得擅自更换现场代表，否则委托方有权要求承担方支付10万元/人/次的费用，承担方擅自更换现场代表超过2次（含）的，委托方有权解除合同，要求承担方赔偿损失并承担合同暂定总价20%的违约金。</w:t>
      </w:r>
    </w:p>
    <w:p w14:paraId="6D795629">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10.15本合同无论任何原因终止或解除，承担方所有人员、设备必须在合同终止或解除之日起三个工作日内撤离施工现场并向委托方移交有关的所有工程资料。</w:t>
      </w:r>
    </w:p>
    <w:p w14:paraId="0DB5CD6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10.16 承担方不具备本项目要求的资质或承担方派出的现场代表、工作人员不具备相应的证书、资质的，委托方有权解除合同，要求承担方赔偿损失并支付合同暂定总价30%的违约金。</w:t>
      </w:r>
    </w:p>
    <w:p w14:paraId="51E08220">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10.17 委托方提交给承担方的所有数据、技术等资料的知识产权归委托方所有，承担方在本项目中提交给委托方的监测方案、监测报告、月报、周报、总结报告等所有成果资料的知识产权归委托方所有，未经委托方同意，承担方不得以复制、出版、公开、向第三人透露等方式进行使用，否则委托人有权要求承担方赔偿损失并承担合同暂定总价30%的违约金。</w:t>
      </w:r>
    </w:p>
    <w:p w14:paraId="59634F98">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10.18监测服务期限内，如发生地质灾害或极端天气等自然灾害情形或其他任何突发情况时，承担方项目负责人或技术负责人未按委托方通知的时间、地点抵达工程项目现场、或拒绝按委托方通知的时间、地点抵达工程项目现场、或发生委托方无法联系上的情形的，第一次发生，承担方应按0.5万元/人·次向委托方承担违约责任；第二次发生，承担方应按1万元/人·次向委托方承担违约责任；第三次发生，承担方应按2万元/人·次向委托方承担违约责任，累计次数按双倍处罚。如发生地质灾害或极端天气等自然灾害情形或其他任何突发情况给委托方造成经济损失或任何其他损失的，且承担方存在过错的，承担方应按暂定签约合同价的20%向委托方承担违约责任。</w:t>
      </w:r>
    </w:p>
    <w:p w14:paraId="71765377">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10.19如承担方违约，委托方为维护自身权益而支付的律师费、诉讼费、公证费、鉴定费等费用由承担方承担。</w:t>
      </w:r>
    </w:p>
    <w:p w14:paraId="37936D20">
      <w:pPr>
        <w:spacing w:line="600" w:lineRule="exact"/>
        <w:ind w:firstLine="480" w:firstLineChars="200"/>
        <w:rPr>
          <w:rFonts w:hint="eastAsia" w:ascii="Times New Roman" w:hAnsi="Times New Roman" w:eastAsia="宋体" w:cs="宋体"/>
          <w:b w:val="0"/>
          <w:bCs/>
          <w:color w:val="auto"/>
          <w:szCs w:val="24"/>
          <w:highlight w:val="none"/>
        </w:rPr>
      </w:pPr>
      <w:r>
        <w:rPr>
          <w:rFonts w:hint="eastAsia" w:ascii="Times New Roman" w:hAnsi="Times New Roman" w:eastAsia="宋体" w:cs="宋体"/>
          <w:b w:val="0"/>
          <w:bCs/>
          <w:color w:val="auto"/>
          <w:spacing w:val="0"/>
          <w:szCs w:val="24"/>
          <w:highlight w:val="none"/>
        </w:rPr>
        <w:t>第十一条 安全保密工作</w:t>
      </w:r>
    </w:p>
    <w:p w14:paraId="5BD93D23">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11.1 在本合同订立前、履行中及终止后，未经委托方书面同意，承担方对委托方提供的资料、信息（包括但不限于商业秘密、技术资料、图纸、数据、以及与业务有关的客户的信息及其他信息等）负保密责任。</w:t>
      </w:r>
    </w:p>
    <w:p w14:paraId="367F1E17">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11.2承担方违反上述约定导致委托方遭受损失或不利影响的，承担方应按本合同总价款的30%向委托方支付违约金，并赔偿由此导致的委托方损失。</w:t>
      </w:r>
    </w:p>
    <w:p w14:paraId="233EB309">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11.3承担方对提交给委托方的监测总结报告等项目成果保密，未经委托方同意，不得擅自将监测总结报告等项目成果向任何第三方提供或将其用于任何其他项目，否则委托方有权要求承担方承担赔偿责任。</w:t>
      </w:r>
    </w:p>
    <w:p w14:paraId="4473059F">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kern w:val="0"/>
          <w:sz w:val="22"/>
          <w:szCs w:val="22"/>
          <w:highlight w:val="none"/>
        </w:rPr>
        <w:t>11.4 保密条款具有独立性，不受本合同的终止或解除的影响</w:t>
      </w:r>
    </w:p>
    <w:p w14:paraId="3BB65B64">
      <w:pPr>
        <w:spacing w:line="600" w:lineRule="exact"/>
        <w:ind w:firstLine="480" w:firstLineChars="200"/>
        <w:rPr>
          <w:rFonts w:hint="eastAsia" w:ascii="Times New Roman" w:hAnsi="Times New Roman" w:eastAsia="宋体" w:cs="宋体"/>
          <w:b w:val="0"/>
          <w:bCs/>
          <w:color w:val="auto"/>
          <w:spacing w:val="0"/>
          <w:szCs w:val="24"/>
          <w:highlight w:val="none"/>
        </w:rPr>
      </w:pPr>
      <w:r>
        <w:rPr>
          <w:rFonts w:hint="eastAsia" w:ascii="Times New Roman" w:hAnsi="Times New Roman" w:eastAsia="宋体" w:cs="宋体"/>
          <w:b w:val="0"/>
          <w:bCs/>
          <w:color w:val="auto"/>
          <w:spacing w:val="0"/>
          <w:szCs w:val="24"/>
          <w:highlight w:val="none"/>
        </w:rPr>
        <w:t>第十二条 争议解决方式</w:t>
      </w:r>
    </w:p>
    <w:p w14:paraId="7D8514F2">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本合同在执行过程中若发生争议，委托方、承担方应及时协商解决，也可由当地建设行政主管部门 调解，协商或调解不成，委托方、承担方同意向项目所在地的人民法院提起诉讼。</w:t>
      </w:r>
    </w:p>
    <w:p w14:paraId="1D4B1FBA">
      <w:pPr>
        <w:spacing w:line="600" w:lineRule="exact"/>
        <w:ind w:firstLine="480" w:firstLineChars="200"/>
        <w:rPr>
          <w:rFonts w:hint="eastAsia" w:ascii="Times New Roman" w:hAnsi="Times New Roman" w:eastAsia="宋体" w:cs="宋体"/>
          <w:b w:val="0"/>
          <w:bCs/>
          <w:color w:val="auto"/>
          <w:szCs w:val="24"/>
          <w:highlight w:val="none"/>
        </w:rPr>
      </w:pPr>
      <w:r>
        <w:rPr>
          <w:rFonts w:hint="eastAsia" w:ascii="Times New Roman" w:hAnsi="Times New Roman" w:eastAsia="宋体" w:cs="宋体"/>
          <w:b w:val="0"/>
          <w:bCs/>
          <w:color w:val="auto"/>
          <w:spacing w:val="0"/>
          <w:szCs w:val="24"/>
          <w:highlight w:val="none"/>
        </w:rPr>
        <w:t>第十三条 其他事项</w:t>
      </w:r>
    </w:p>
    <w:p w14:paraId="62EC0BF0">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13.1 本合同未尽事宜，双方协商解决或签订补充协议。</w:t>
      </w:r>
    </w:p>
    <w:p w14:paraId="117567AD">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pacing w:val="0"/>
          <w:sz w:val="22"/>
          <w:szCs w:val="22"/>
          <w:highlight w:val="none"/>
        </w:rPr>
        <w:t>13.2 本合同</w:t>
      </w:r>
      <w:r>
        <w:rPr>
          <w:rFonts w:ascii="宋体" w:eastAsia="宋体" w:cs="Arial"/>
          <w:bCs w:val="0"/>
          <w:color w:val="auto"/>
          <w:spacing w:val="0"/>
          <w:sz w:val="22"/>
          <w:szCs w:val="22"/>
          <w:highlight w:val="none"/>
        </w:rPr>
        <w:t>经各方</w:t>
      </w:r>
      <w:r>
        <w:rPr>
          <w:rFonts w:ascii="宋体" w:eastAsia="宋体" w:cs="Arial"/>
          <w:bCs w:val="0"/>
          <w:color w:val="auto"/>
          <w:spacing w:val="0"/>
          <w:sz w:val="22"/>
          <w:szCs w:val="22"/>
          <w:highlight w:val="none"/>
          <w:lang w:val="en-US" w:eastAsia="zh-CN"/>
        </w:rPr>
        <w:t>均</w:t>
      </w:r>
      <w:r>
        <w:rPr>
          <w:rFonts w:ascii="宋体" w:eastAsia="宋体" w:cs="Arial"/>
          <w:bCs w:val="0"/>
          <w:color w:val="auto"/>
          <w:spacing w:val="0"/>
          <w:sz w:val="22"/>
          <w:szCs w:val="22"/>
          <w:highlight w:val="none"/>
        </w:rPr>
        <w:t>加盖合同专用章或公章后生效。</w:t>
      </w:r>
    </w:p>
    <w:p w14:paraId="599D617D">
      <w:pPr>
        <w:snapToGrid w:val="0"/>
        <w:spacing w:line="560" w:lineRule="exact"/>
        <w:ind w:firstLine="440" w:firstLineChars="200"/>
        <w:rPr>
          <w:rFonts w:ascii="宋体" w:eastAsia="宋体" w:cs="Arial"/>
          <w:bCs w:val="0"/>
          <w:color w:val="auto"/>
          <w:sz w:val="22"/>
          <w:szCs w:val="22"/>
          <w:highlight w:val="none"/>
        </w:rPr>
      </w:pPr>
      <w:r>
        <w:rPr>
          <w:rFonts w:ascii="宋体" w:eastAsia="宋体" w:cs="Arial"/>
          <w:bCs w:val="0"/>
          <w:color w:val="auto"/>
          <w:sz w:val="22"/>
          <w:szCs w:val="22"/>
          <w:highlight w:val="none"/>
        </w:rPr>
        <w:t>13.3 本合同一式  份，委托方执   份，承担方执   份，具有相同法律效力。</w:t>
      </w:r>
    </w:p>
    <w:p w14:paraId="2DFAF8F5">
      <w:pPr>
        <w:spacing w:line="600" w:lineRule="exact"/>
        <w:ind w:firstLine="482" w:firstLineChars="200"/>
        <w:rPr>
          <w:rFonts w:hint="eastAsia" w:ascii="Times New Roman" w:hAnsi="Times New Roman" w:eastAsia="宋体" w:cs="宋体"/>
          <w:b/>
          <w:bCs w:val="0"/>
          <w:color w:val="auto"/>
          <w:szCs w:val="24"/>
          <w:highlight w:val="none"/>
        </w:rPr>
      </w:pPr>
      <w:r>
        <w:rPr>
          <w:rFonts w:hint="eastAsia" w:ascii="Times New Roman" w:hAnsi="Times New Roman" w:eastAsia="宋体" w:cs="宋体"/>
          <w:b/>
          <w:bCs w:val="0"/>
          <w:color w:val="auto"/>
          <w:spacing w:val="0"/>
          <w:szCs w:val="24"/>
          <w:highlight w:val="none"/>
        </w:rPr>
        <w:t>第十四条 合同附件</w:t>
      </w:r>
    </w:p>
    <w:p w14:paraId="39C26662">
      <w:pPr>
        <w:snapToGrid w:val="0"/>
        <w:spacing w:line="560" w:lineRule="exact"/>
        <w:ind w:firstLine="440" w:firstLineChars="200"/>
        <w:rPr>
          <w:rFonts w:ascii="宋体" w:eastAsia="宋体" w:cs="Arial"/>
          <w:bCs w:val="0"/>
          <w:color w:val="auto"/>
          <w:spacing w:val="0"/>
          <w:sz w:val="22"/>
          <w:szCs w:val="22"/>
          <w:highlight w:val="none"/>
        </w:rPr>
      </w:pPr>
      <w:r>
        <w:rPr>
          <w:rFonts w:ascii="宋体" w:eastAsia="宋体" w:cs="Arial"/>
          <w:bCs w:val="0"/>
          <w:color w:val="auto"/>
          <w:spacing w:val="0"/>
          <w:sz w:val="22"/>
          <w:szCs w:val="22"/>
          <w:highlight w:val="none"/>
        </w:rPr>
        <w:t>附件1：廉洁协议</w:t>
      </w:r>
    </w:p>
    <w:p w14:paraId="14E6B594">
      <w:pPr>
        <w:snapToGrid w:val="0"/>
        <w:spacing w:before="0" w:line="560" w:lineRule="exact"/>
        <w:ind w:firstLine="440" w:firstLineChars="200"/>
        <w:rPr>
          <w:rFonts w:ascii="宋体" w:eastAsia="宋体" w:cs="Arial"/>
          <w:color w:val="auto"/>
          <w:spacing w:val="0"/>
          <w:sz w:val="22"/>
          <w:szCs w:val="22"/>
          <w:highlight w:val="none"/>
        </w:rPr>
      </w:pPr>
      <w:r>
        <w:rPr>
          <w:rFonts w:ascii="宋体" w:eastAsia="宋体" w:cs="Arial"/>
          <w:color w:val="auto"/>
          <w:spacing w:val="0"/>
          <w:sz w:val="22"/>
          <w:szCs w:val="22"/>
          <w:highlight w:val="none"/>
        </w:rPr>
        <w:t>以上附件属于本合同重要组成部分，与本合同具备同等法律效力。若附件内容与本合同内容不一致的，以本合同内容为准。</w:t>
      </w:r>
    </w:p>
    <w:p w14:paraId="60CB79AC">
      <w:pPr>
        <w:snapToGrid w:val="0"/>
        <w:spacing w:before="0" w:line="560" w:lineRule="exact"/>
        <w:ind w:firstLine="440" w:firstLineChars="200"/>
        <w:rPr>
          <w:rFonts w:ascii="宋体" w:eastAsia="宋体" w:cs="Arial"/>
          <w:color w:val="auto"/>
          <w:spacing w:val="0"/>
          <w:sz w:val="22"/>
          <w:szCs w:val="22"/>
          <w:highlight w:val="none"/>
        </w:rPr>
      </w:pPr>
      <w:r>
        <w:rPr>
          <w:rFonts w:ascii="宋体" w:eastAsia="宋体" w:cs="Arial"/>
          <w:color w:val="auto"/>
          <w:spacing w:val="0"/>
          <w:sz w:val="22"/>
          <w:szCs w:val="22"/>
          <w:highlight w:val="none"/>
        </w:rPr>
        <w:t>（以下无合同正文）</w:t>
      </w:r>
    </w:p>
    <w:p w14:paraId="58069DA8">
      <w:pPr>
        <w:keepNext/>
        <w:keepLines/>
        <w:widowControl w:val="0"/>
        <w:spacing w:before="260" w:after="260" w:line="415" w:lineRule="auto"/>
        <w:outlineLvl w:val="2"/>
        <w:rPr>
          <w:rFonts w:ascii="Times New Roman" w:hAnsi="Times New Roman" w:eastAsia="宋体" w:cs="Times New Roman"/>
          <w:b/>
          <w:bCs/>
          <w:color w:val="auto"/>
          <w:sz w:val="32"/>
          <w:szCs w:val="32"/>
          <w:highlight w:val="none"/>
        </w:rPr>
      </w:pPr>
    </w:p>
    <w:p w14:paraId="5384771F">
      <w:pPr>
        <w:rPr>
          <w:rFonts w:ascii="Times New Roman" w:hAnsi="Times New Roman" w:eastAsia="宋体" w:cs="Times New Roman"/>
          <w:color w:val="auto"/>
          <w:szCs w:val="24"/>
          <w:highlight w:val="none"/>
        </w:rPr>
      </w:pPr>
    </w:p>
    <w:p w14:paraId="4CDA9514">
      <w:pPr>
        <w:spacing w:line="520" w:lineRule="exact"/>
        <w:ind w:firstLine="240" w:firstLineChars="100"/>
        <w:rPr>
          <w:color w:val="auto"/>
          <w:szCs w:val="21"/>
          <w:highlight w:val="none"/>
        </w:rPr>
      </w:pPr>
      <w:r>
        <w:rPr>
          <w:color w:val="auto"/>
          <w:szCs w:val="21"/>
          <w:highlight w:val="none"/>
        </w:rPr>
        <w:t>委托方</w:t>
      </w:r>
      <w:r>
        <w:rPr>
          <w:rFonts w:hint="eastAsia"/>
          <w:color w:val="auto"/>
          <w:szCs w:val="21"/>
          <w:highlight w:val="none"/>
        </w:rPr>
        <w:t xml:space="preserve">（项目业主）： </w:t>
      </w:r>
      <w:r>
        <w:rPr>
          <w:color w:val="auto"/>
          <w:szCs w:val="21"/>
          <w:highlight w:val="none"/>
        </w:rPr>
        <w:t xml:space="preserve">                       委托方</w:t>
      </w:r>
      <w:r>
        <w:rPr>
          <w:rFonts w:hint="eastAsia"/>
          <w:color w:val="auto"/>
          <w:szCs w:val="21"/>
          <w:highlight w:val="none"/>
        </w:rPr>
        <w:t>（代理业主）：</w:t>
      </w:r>
      <w:r>
        <w:rPr>
          <w:color w:val="auto"/>
          <w:szCs w:val="21"/>
          <w:highlight w:val="none"/>
        </w:rPr>
        <w:t xml:space="preserve"> </w:t>
      </w:r>
    </w:p>
    <w:p w14:paraId="68B241DF">
      <w:pPr>
        <w:pStyle w:val="12"/>
        <w:rPr>
          <w:rFonts w:hint="eastAsia"/>
          <w:b w:val="0"/>
          <w:color w:val="auto"/>
          <w:highlight w:val="none"/>
        </w:rPr>
      </w:pPr>
      <w:r>
        <w:rPr>
          <w:rFonts w:hint="eastAsia"/>
          <w:b w:val="0"/>
          <w:color w:val="auto"/>
          <w:sz w:val="21"/>
          <w:szCs w:val="21"/>
          <w:highlight w:val="none"/>
        </w:rPr>
        <w:t xml:space="preserve">重庆西永微电子产业园区开发有限公司 </w:t>
      </w:r>
      <w:r>
        <w:rPr>
          <w:b w:val="0"/>
          <w:color w:val="auto"/>
          <w:sz w:val="21"/>
          <w:szCs w:val="21"/>
          <w:highlight w:val="none"/>
        </w:rPr>
        <w:t xml:space="preserve">         </w:t>
      </w:r>
      <w:r>
        <w:rPr>
          <w:rFonts w:hint="eastAsia"/>
          <w:b w:val="0"/>
          <w:color w:val="auto"/>
          <w:sz w:val="21"/>
          <w:szCs w:val="21"/>
          <w:highlight w:val="none"/>
        </w:rPr>
        <w:t>重庆科学城城市建设集团有限公司</w:t>
      </w:r>
    </w:p>
    <w:p w14:paraId="28995D20">
      <w:pPr>
        <w:spacing w:line="520" w:lineRule="exact"/>
        <w:ind w:firstLine="200"/>
        <w:rPr>
          <w:color w:val="auto"/>
          <w:szCs w:val="21"/>
          <w:highlight w:val="none"/>
        </w:rPr>
      </w:pPr>
    </w:p>
    <w:p w14:paraId="656F3B8E">
      <w:pPr>
        <w:spacing w:line="520" w:lineRule="exact"/>
        <w:ind w:firstLine="200"/>
        <w:rPr>
          <w:rFonts w:hint="eastAsia"/>
          <w:color w:val="auto"/>
          <w:szCs w:val="21"/>
          <w:highlight w:val="none"/>
        </w:rPr>
      </w:pPr>
      <w:r>
        <w:rPr>
          <w:rFonts w:hint="eastAsia"/>
          <w:color w:val="auto"/>
          <w:szCs w:val="21"/>
          <w:highlight w:val="none"/>
        </w:rPr>
        <w:t>项目经办人：</w:t>
      </w:r>
      <w:r>
        <w:rPr>
          <w:color w:val="auto"/>
          <w:szCs w:val="21"/>
          <w:highlight w:val="none"/>
        </w:rPr>
        <w:t xml:space="preserve">                                   </w:t>
      </w:r>
      <w:r>
        <w:rPr>
          <w:rFonts w:hint="eastAsia"/>
          <w:color w:val="auto"/>
          <w:szCs w:val="21"/>
          <w:highlight w:val="none"/>
        </w:rPr>
        <w:t>项目经办人：</w:t>
      </w:r>
      <w:r>
        <w:rPr>
          <w:color w:val="auto"/>
          <w:szCs w:val="21"/>
          <w:highlight w:val="none"/>
        </w:rPr>
        <w:t xml:space="preserve"> </w:t>
      </w:r>
    </w:p>
    <w:p w14:paraId="3D4F48A0">
      <w:pPr>
        <w:spacing w:line="520" w:lineRule="exact"/>
        <w:ind w:firstLine="240" w:firstLineChars="100"/>
        <w:rPr>
          <w:color w:val="auto"/>
          <w:szCs w:val="21"/>
          <w:highlight w:val="none"/>
        </w:rPr>
      </w:pPr>
    </w:p>
    <w:p w14:paraId="22ACEBB1">
      <w:pPr>
        <w:spacing w:line="520" w:lineRule="exact"/>
        <w:ind w:firstLine="240" w:firstLineChars="100"/>
        <w:rPr>
          <w:color w:val="auto"/>
          <w:szCs w:val="21"/>
          <w:highlight w:val="none"/>
        </w:rPr>
      </w:pPr>
      <w:r>
        <w:rPr>
          <w:color w:val="auto"/>
          <w:szCs w:val="21"/>
          <w:highlight w:val="none"/>
        </w:rPr>
        <w:t>承担方</w:t>
      </w:r>
      <w:r>
        <w:rPr>
          <w:rFonts w:hint="eastAsia"/>
          <w:color w:val="auto"/>
          <w:szCs w:val="21"/>
          <w:highlight w:val="none"/>
        </w:rPr>
        <w:t>：</w:t>
      </w:r>
    </w:p>
    <w:p w14:paraId="17E84AC5">
      <w:pPr>
        <w:spacing w:line="520" w:lineRule="exact"/>
        <w:ind w:firstLine="240" w:firstLineChars="100"/>
        <w:rPr>
          <w:color w:val="auto"/>
          <w:szCs w:val="21"/>
          <w:highlight w:val="none"/>
        </w:rPr>
      </w:pPr>
      <w:r>
        <w:rPr>
          <w:color w:val="auto"/>
          <w:szCs w:val="21"/>
          <w:highlight w:val="none"/>
        </w:rPr>
        <w:t>联系地址</w:t>
      </w:r>
      <w:r>
        <w:rPr>
          <w:rFonts w:hint="eastAsia"/>
          <w:color w:val="auto"/>
          <w:szCs w:val="21"/>
          <w:highlight w:val="none"/>
        </w:rPr>
        <w:t>：</w:t>
      </w:r>
      <w:r>
        <w:rPr>
          <w:color w:val="auto"/>
          <w:szCs w:val="21"/>
          <w:highlight w:val="none"/>
        </w:rPr>
        <w:t xml:space="preserve"> </w:t>
      </w:r>
    </w:p>
    <w:p w14:paraId="0604F1BD">
      <w:pPr>
        <w:spacing w:line="520" w:lineRule="exact"/>
        <w:ind w:firstLine="240" w:firstLineChars="100"/>
        <w:rPr>
          <w:color w:val="auto"/>
          <w:szCs w:val="21"/>
          <w:highlight w:val="none"/>
        </w:rPr>
      </w:pPr>
      <w:r>
        <w:rPr>
          <w:rFonts w:hint="eastAsia"/>
          <w:color w:val="auto"/>
          <w:szCs w:val="21"/>
          <w:highlight w:val="none"/>
        </w:rPr>
        <w:t>联系电话：</w:t>
      </w:r>
      <w:r>
        <w:rPr>
          <w:color w:val="auto"/>
          <w:szCs w:val="21"/>
          <w:highlight w:val="none"/>
        </w:rPr>
        <w:t xml:space="preserve"> </w:t>
      </w:r>
    </w:p>
    <w:p w14:paraId="2C9B283A">
      <w:pPr>
        <w:ind w:firstLine="240" w:firstLineChars="100"/>
        <w:rPr>
          <w:rFonts w:hint="eastAsia"/>
          <w:color w:val="auto"/>
          <w:szCs w:val="21"/>
          <w:highlight w:val="none"/>
        </w:rPr>
      </w:pPr>
      <w:r>
        <w:rPr>
          <w:rFonts w:hint="eastAsia"/>
          <w:color w:val="auto"/>
          <w:szCs w:val="21"/>
          <w:highlight w:val="none"/>
        </w:rPr>
        <w:t>开户银行：</w:t>
      </w:r>
      <w:r>
        <w:rPr>
          <w:color w:val="auto"/>
          <w:szCs w:val="21"/>
          <w:highlight w:val="none"/>
        </w:rPr>
        <w:t xml:space="preserve"> </w:t>
      </w:r>
    </w:p>
    <w:p w14:paraId="7F28A510">
      <w:pPr>
        <w:spacing w:after="240" w:afterLines="100" w:line="540" w:lineRule="exact"/>
        <w:ind w:firstLine="240" w:firstLineChars="100"/>
        <w:rPr>
          <w:rFonts w:ascii="宋体" w:cs="宋体"/>
          <w:b/>
          <w:bCs/>
          <w:color w:val="auto"/>
          <w:szCs w:val="21"/>
          <w:highlight w:val="none"/>
        </w:rPr>
      </w:pPr>
      <w:r>
        <w:rPr>
          <w:rFonts w:hint="eastAsia"/>
          <w:color w:val="auto"/>
          <w:szCs w:val="21"/>
          <w:highlight w:val="none"/>
        </w:rPr>
        <w:t>银行账户：</w:t>
      </w:r>
      <w:r>
        <w:rPr>
          <w:color w:val="auto"/>
          <w:szCs w:val="21"/>
          <w:highlight w:val="none"/>
        </w:rPr>
        <w:t xml:space="preserve"> </w:t>
      </w:r>
    </w:p>
    <w:p w14:paraId="162D5DDC">
      <w:pPr>
        <w:spacing w:line="560" w:lineRule="exact"/>
        <w:ind w:firstLine="794"/>
        <w:jc w:val="center"/>
        <w:rPr>
          <w:rFonts w:ascii="宋体" w:eastAsia="宋体" w:cs="Times New Roman"/>
          <w:color w:val="auto"/>
          <w:szCs w:val="21"/>
          <w:highlight w:val="none"/>
        </w:rPr>
        <w:sectPr>
          <w:footerReference r:id="rId3" w:type="default"/>
          <w:pgSz w:w="11910" w:h="16845"/>
          <w:pgMar w:top="1399" w:right="1035" w:bottom="1157" w:left="1313" w:header="0" w:footer="1034" w:gutter="0"/>
          <w:cols w:space="720" w:num="1"/>
          <w:docGrid w:linePitch="312" w:charSpace="0"/>
        </w:sectPr>
      </w:pPr>
      <w:r>
        <w:rPr>
          <w:rFonts w:ascii="宋体" w:eastAsia="宋体" w:cs="宋体"/>
          <w:color w:val="auto"/>
          <w:spacing w:val="-20"/>
          <w:w w:val="98"/>
          <w:szCs w:val="21"/>
          <w:highlight w:val="none"/>
        </w:rPr>
        <w:t>合同签订时间：        年        月        日</w:t>
      </w:r>
    </w:p>
    <w:p w14:paraId="1E73932E">
      <w:pPr>
        <w:snapToGrid w:val="0"/>
        <w:spacing w:line="560" w:lineRule="exact"/>
        <w:ind w:firstLine="420"/>
        <w:rPr>
          <w:color w:val="auto"/>
          <w:highlight w:val="none"/>
        </w:rPr>
      </w:pPr>
      <w:r>
        <w:rPr>
          <w:rFonts w:ascii="宋体"/>
          <w:color w:val="auto"/>
          <w:sz w:val="22"/>
          <w:szCs w:val="22"/>
          <w:highlight w:val="none"/>
        </w:rPr>
        <w:t xml:space="preserve">                           </w:t>
      </w:r>
    </w:p>
    <w:p w14:paraId="3589BBB3">
      <w:pPr>
        <w:snapToGrid w:val="0"/>
        <w:spacing w:before="69" w:line="185" w:lineRule="auto"/>
        <w:ind w:firstLine="0"/>
        <w:rPr>
          <w:rFonts w:ascii="宋体"/>
          <w:color w:val="auto"/>
          <w:spacing w:val="2"/>
          <w:sz w:val="22"/>
          <w:szCs w:val="22"/>
          <w:highlight w:val="none"/>
        </w:rPr>
      </w:pPr>
      <w:r>
        <w:rPr>
          <w:rFonts w:ascii="宋体"/>
          <w:color w:val="auto"/>
          <w:spacing w:val="2"/>
          <w:sz w:val="22"/>
          <w:szCs w:val="22"/>
          <w:highlight w:val="none"/>
        </w:rPr>
        <w:t>附件1：廉洁协议</w:t>
      </w:r>
    </w:p>
    <w:p w14:paraId="054A9AE7">
      <w:pPr>
        <w:snapToGrid w:val="0"/>
        <w:spacing w:before="69" w:line="185" w:lineRule="auto"/>
        <w:rPr>
          <w:rFonts w:ascii="宋体"/>
          <w:color w:val="auto"/>
          <w:spacing w:val="2"/>
          <w:szCs w:val="21"/>
          <w:highlight w:val="none"/>
        </w:rPr>
      </w:pPr>
    </w:p>
    <w:p w14:paraId="62066FD7">
      <w:pPr>
        <w:snapToGrid w:val="0"/>
        <w:spacing w:line="540" w:lineRule="exact"/>
        <w:jc w:val="center"/>
        <w:rPr>
          <w:rFonts w:ascii="宋体"/>
          <w:b/>
          <w:color w:val="auto"/>
          <w:sz w:val="40"/>
          <w:szCs w:val="40"/>
          <w:highlight w:val="none"/>
        </w:rPr>
      </w:pPr>
      <w:r>
        <w:rPr>
          <w:rFonts w:ascii="宋体"/>
          <w:b/>
          <w:color w:val="auto"/>
          <w:sz w:val="40"/>
          <w:szCs w:val="40"/>
          <w:highlight w:val="none"/>
        </w:rPr>
        <w:t>廉 洁 协 议</w:t>
      </w:r>
    </w:p>
    <w:p w14:paraId="72084571">
      <w:pPr>
        <w:snapToGrid w:val="0"/>
        <w:spacing w:line="540" w:lineRule="exact"/>
        <w:rPr>
          <w:rFonts w:ascii="宋体"/>
          <w:b/>
          <w:color w:val="auto"/>
          <w:sz w:val="28"/>
          <w:szCs w:val="28"/>
          <w:highlight w:val="none"/>
        </w:rPr>
      </w:pPr>
    </w:p>
    <w:p w14:paraId="3691AE36">
      <w:pPr>
        <w:snapToGrid w:val="0"/>
        <w:spacing w:line="540" w:lineRule="exact"/>
        <w:ind w:firstLine="442" w:firstLineChars="200"/>
        <w:rPr>
          <w:rFonts w:cs="Times New Roman"/>
          <w:b/>
          <w:bCs/>
          <w:color w:val="auto"/>
          <w:sz w:val="22"/>
          <w:szCs w:val="22"/>
          <w:highlight w:val="none"/>
        </w:rPr>
      </w:pPr>
      <w:r>
        <w:rPr>
          <w:rFonts w:cs="Times New Roman"/>
          <w:b/>
          <w:bCs/>
          <w:color w:val="auto"/>
          <w:sz w:val="22"/>
          <w:szCs w:val="22"/>
          <w:highlight w:val="none"/>
        </w:rPr>
        <w:t>委托方：</w:t>
      </w:r>
    </w:p>
    <w:p w14:paraId="4DA63F71">
      <w:pPr>
        <w:snapToGrid w:val="0"/>
        <w:spacing w:line="540" w:lineRule="exact"/>
        <w:ind w:firstLine="420" w:firstLineChars="200"/>
        <w:rPr>
          <w:b w:val="0"/>
          <w:color w:val="auto"/>
          <w:sz w:val="21"/>
          <w:szCs w:val="21"/>
          <w:highlight w:val="none"/>
        </w:rPr>
      </w:pPr>
      <w:r>
        <w:rPr>
          <w:rFonts w:hint="eastAsia"/>
          <w:b w:val="0"/>
          <w:color w:val="auto"/>
          <w:sz w:val="21"/>
          <w:szCs w:val="21"/>
          <w:highlight w:val="none"/>
        </w:rPr>
        <w:t>重庆西永微电子产业园区开发有限公司</w:t>
      </w:r>
      <w:r>
        <w:rPr>
          <w:b w:val="0"/>
          <w:color w:val="auto"/>
          <w:sz w:val="21"/>
          <w:szCs w:val="21"/>
          <w:highlight w:val="none"/>
        </w:rPr>
        <w:t xml:space="preserve">（项目业主） </w:t>
      </w:r>
    </w:p>
    <w:p w14:paraId="7CDF4759">
      <w:pPr>
        <w:snapToGrid w:val="0"/>
        <w:spacing w:line="540" w:lineRule="exact"/>
        <w:ind w:firstLine="420" w:firstLineChars="200"/>
        <w:rPr>
          <w:b w:val="0"/>
          <w:color w:val="auto"/>
          <w:sz w:val="21"/>
          <w:szCs w:val="21"/>
          <w:highlight w:val="none"/>
        </w:rPr>
      </w:pPr>
      <w:r>
        <w:rPr>
          <w:rFonts w:hint="eastAsia"/>
          <w:b w:val="0"/>
          <w:color w:val="auto"/>
          <w:sz w:val="21"/>
          <w:szCs w:val="21"/>
          <w:highlight w:val="none"/>
        </w:rPr>
        <w:t>重庆科学城城市建设集团有限公司</w:t>
      </w:r>
      <w:r>
        <w:rPr>
          <w:b w:val="0"/>
          <w:color w:val="auto"/>
          <w:sz w:val="21"/>
          <w:szCs w:val="21"/>
          <w:highlight w:val="none"/>
        </w:rPr>
        <w:t>（代理业主）</w:t>
      </w:r>
    </w:p>
    <w:p w14:paraId="21868482">
      <w:pPr>
        <w:snapToGrid w:val="0"/>
        <w:spacing w:line="540" w:lineRule="exact"/>
        <w:ind w:firstLine="442" w:firstLineChars="200"/>
        <w:rPr>
          <w:rFonts w:cs="Times New Roman"/>
          <w:b/>
          <w:bCs/>
          <w:color w:val="auto"/>
          <w:sz w:val="22"/>
          <w:szCs w:val="22"/>
          <w:highlight w:val="none"/>
        </w:rPr>
      </w:pPr>
      <w:r>
        <w:rPr>
          <w:rFonts w:cs="Times New Roman"/>
          <w:b/>
          <w:bCs/>
          <w:color w:val="auto"/>
          <w:sz w:val="22"/>
          <w:szCs w:val="22"/>
          <w:highlight w:val="none"/>
        </w:rPr>
        <w:t>承担方：</w:t>
      </w:r>
      <w:r>
        <w:rPr>
          <w:rFonts w:cs="Times New Roman"/>
          <w:b/>
          <w:bCs/>
          <w:color w:val="auto"/>
          <w:sz w:val="22"/>
          <w:szCs w:val="22"/>
          <w:highlight w:val="none"/>
          <w:u w:val="single" w:color="000000"/>
        </w:rPr>
        <w:t xml:space="preserve">                        </w:t>
      </w:r>
      <w:r>
        <w:rPr>
          <w:rFonts w:cs="Times New Roman"/>
          <w:b/>
          <w:bCs/>
          <w:color w:val="auto"/>
          <w:sz w:val="22"/>
          <w:szCs w:val="22"/>
          <w:highlight w:val="none"/>
        </w:rPr>
        <w:t>公司</w:t>
      </w:r>
    </w:p>
    <w:p w14:paraId="02D834A2">
      <w:pPr>
        <w:snapToGrid w:val="0"/>
        <w:spacing w:line="540" w:lineRule="exact"/>
        <w:ind w:firstLine="442" w:firstLineChars="200"/>
        <w:rPr>
          <w:rFonts w:hint="eastAsia" w:eastAsia="宋体" w:cs="Times New Roman"/>
          <w:b/>
          <w:bCs/>
          <w:color w:val="auto"/>
          <w:sz w:val="22"/>
          <w:szCs w:val="22"/>
          <w:highlight w:val="none"/>
          <w:lang w:eastAsia="zh-CN"/>
        </w:rPr>
      </w:pPr>
      <w:r>
        <w:rPr>
          <w:rFonts w:cs="Times New Roman"/>
          <w:b/>
          <w:bCs/>
          <w:color w:val="auto"/>
          <w:sz w:val="22"/>
          <w:szCs w:val="22"/>
          <w:highlight w:val="none"/>
        </w:rPr>
        <w:t>项目名称：</w:t>
      </w:r>
      <w:r>
        <w:rPr>
          <w:rFonts w:hint="eastAsia" w:cs="Times New Roman"/>
          <w:b/>
          <w:bCs/>
          <w:color w:val="auto"/>
          <w:sz w:val="22"/>
          <w:szCs w:val="22"/>
          <w:highlight w:val="none"/>
          <w:lang w:eastAsia="zh-CN"/>
        </w:rPr>
        <w:t>西永综保区进口整车展示及存储中心及周边配套工程—广达生活区A线道路东延段工程第三方涉轨监测</w:t>
      </w:r>
    </w:p>
    <w:p w14:paraId="7C315D61">
      <w:pPr>
        <w:snapToGrid w:val="0"/>
        <w:spacing w:line="540" w:lineRule="exact"/>
        <w:ind w:firstLine="442" w:firstLineChars="200"/>
        <w:rPr>
          <w:rFonts w:cs="Times New Roman"/>
          <w:b/>
          <w:bCs/>
          <w:color w:val="auto"/>
          <w:sz w:val="22"/>
          <w:szCs w:val="22"/>
          <w:highlight w:val="none"/>
        </w:rPr>
      </w:pPr>
      <w:r>
        <w:rPr>
          <w:rFonts w:cs="Times New Roman"/>
          <w:b/>
          <w:bCs/>
          <w:color w:val="auto"/>
          <w:sz w:val="22"/>
          <w:szCs w:val="22"/>
          <w:highlight w:val="none"/>
        </w:rPr>
        <w:t>项目地址：</w:t>
      </w:r>
      <w:r>
        <w:rPr>
          <w:rFonts w:hint="eastAsia" w:cs="Times New Roman"/>
          <w:b/>
          <w:bCs/>
          <w:color w:val="auto"/>
          <w:sz w:val="22"/>
          <w:szCs w:val="22"/>
          <w:highlight w:val="none"/>
        </w:rPr>
        <w:t>高新区含谷镇</w:t>
      </w:r>
    </w:p>
    <w:p w14:paraId="26F5294B">
      <w:pPr>
        <w:snapToGrid w:val="0"/>
        <w:spacing w:line="540" w:lineRule="exact"/>
        <w:ind w:firstLine="440" w:firstLineChars="200"/>
        <w:rPr>
          <w:color w:val="auto"/>
          <w:sz w:val="22"/>
          <w:szCs w:val="22"/>
          <w:highlight w:val="none"/>
        </w:rPr>
      </w:pPr>
      <w:r>
        <w:rPr>
          <w:color w:val="auto"/>
          <w:sz w:val="22"/>
          <w:szCs w:val="22"/>
          <w:highlight w:val="none"/>
        </w:rPr>
        <w:t>为加强项目实施中的党风廉政建设，保证项目高效优质，保证项目资金的安全和有效使用以及投资效益，双方特订立本《廉洁协议》。</w:t>
      </w:r>
    </w:p>
    <w:p w14:paraId="41F2EC77">
      <w:pPr>
        <w:snapToGrid w:val="0"/>
        <w:spacing w:line="540" w:lineRule="exact"/>
        <w:ind w:firstLine="442" w:firstLineChars="200"/>
        <w:rPr>
          <w:color w:val="auto"/>
          <w:sz w:val="22"/>
          <w:szCs w:val="22"/>
          <w:highlight w:val="none"/>
        </w:rPr>
      </w:pPr>
      <w:r>
        <w:rPr>
          <w:rFonts w:cs="Times New Roman"/>
          <w:b/>
          <w:bCs/>
          <w:color w:val="auto"/>
          <w:sz w:val="22"/>
          <w:szCs w:val="22"/>
          <w:highlight w:val="none"/>
        </w:rPr>
        <w:t>第一条  双方的责任</w:t>
      </w:r>
    </w:p>
    <w:p w14:paraId="52FF686F">
      <w:pPr>
        <w:snapToGrid w:val="0"/>
        <w:spacing w:line="540" w:lineRule="exact"/>
        <w:ind w:firstLine="440" w:firstLineChars="200"/>
        <w:rPr>
          <w:color w:val="auto"/>
          <w:sz w:val="22"/>
          <w:szCs w:val="22"/>
          <w:highlight w:val="none"/>
        </w:rPr>
      </w:pPr>
      <w:r>
        <w:rPr>
          <w:color w:val="auto"/>
          <w:sz w:val="22"/>
          <w:szCs w:val="22"/>
          <w:highlight w:val="none"/>
        </w:rPr>
        <w:t>（一）严格遵守党和国家有关法律法规及建设行政主管部门的规定。</w:t>
      </w:r>
    </w:p>
    <w:p w14:paraId="66656FCB">
      <w:pPr>
        <w:snapToGrid w:val="0"/>
        <w:spacing w:line="540" w:lineRule="exact"/>
        <w:ind w:firstLine="440" w:firstLineChars="200"/>
        <w:rPr>
          <w:color w:val="auto"/>
          <w:sz w:val="22"/>
          <w:szCs w:val="22"/>
          <w:highlight w:val="none"/>
        </w:rPr>
      </w:pPr>
      <w:r>
        <w:rPr>
          <w:color w:val="auto"/>
          <w:sz w:val="22"/>
          <w:szCs w:val="22"/>
          <w:highlight w:val="none"/>
        </w:rPr>
        <w:t>（二）严格执行</w:t>
      </w:r>
      <w:r>
        <w:rPr>
          <w:color w:val="auto"/>
          <w:sz w:val="22"/>
          <w:szCs w:val="22"/>
          <w:highlight w:val="none"/>
          <w:u w:val="single" w:color="000000"/>
        </w:rPr>
        <w:t xml:space="preserve"> </w:t>
      </w:r>
      <w:r>
        <w:rPr>
          <w:rFonts w:hint="default" w:cs="Arial"/>
          <w:b w:val="0"/>
          <w:bCs w:val="0"/>
          <w:color w:val="auto"/>
          <w:sz w:val="22"/>
          <w:szCs w:val="22"/>
          <w:highlight w:val="none"/>
          <w:u w:val="single" w:color="000000"/>
          <w:lang w:eastAsia="zh-CN"/>
        </w:rPr>
        <w:t>西永综保区进口整车展示及存储中心及周边配套工程—广达生活区A线道路东延段工程第三方涉轨监测</w:t>
      </w:r>
      <w:r>
        <w:rPr>
          <w:color w:val="auto"/>
          <w:sz w:val="22"/>
          <w:szCs w:val="22"/>
          <w:highlight w:val="none"/>
          <w:u w:val="single" w:color="000000"/>
        </w:rPr>
        <w:t xml:space="preserve"> </w:t>
      </w:r>
      <w:r>
        <w:rPr>
          <w:color w:val="auto"/>
          <w:sz w:val="22"/>
          <w:szCs w:val="22"/>
          <w:highlight w:val="none"/>
        </w:rPr>
        <w:t>合同，自觉遵守合同。</w:t>
      </w:r>
    </w:p>
    <w:p w14:paraId="46808C04">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（三）双方的业务活动坚持公开、公正、诚信、透明原则（法律认定的商业秘密和合同文件另有规定的除外），不得损害国家和集体利益，不得违反工程建设管理规章制度。</w:t>
      </w:r>
    </w:p>
    <w:p w14:paraId="757DAE84">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（四）建立健全廉政制度，开展廉政教育，设立廉政告示牌，公布举报电话，监督并认真查处违法违纪行为。</w:t>
      </w:r>
    </w:p>
    <w:p w14:paraId="38A719DE">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（五）任何一方发现对方在业务活动中有违反廉政规定的行为，有及时提醒对方纠正的权利和义务。</w:t>
      </w:r>
    </w:p>
    <w:p w14:paraId="73D88002">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（六）发现对方严重违反本合同的行为，任何一方有向有关部门举报、建议给予处理并要求告知处理结果的权利。</w:t>
      </w:r>
    </w:p>
    <w:p w14:paraId="205529C6">
      <w:pPr>
        <w:snapToGrid w:val="0"/>
        <w:spacing w:line="540" w:lineRule="exact"/>
        <w:ind w:firstLine="440" w:firstLineChars="200"/>
        <w:rPr>
          <w:rFonts w:ascii="Times New Roman" w:hAnsi="Times New Roman" w:eastAsia="宋体"/>
          <w:b w:val="0"/>
          <w:bCs w:val="0"/>
          <w:snapToGrid/>
          <w:color w:val="auto"/>
          <w:sz w:val="22"/>
          <w:szCs w:val="22"/>
          <w:highlight w:val="none"/>
        </w:rPr>
      </w:pPr>
      <w:r>
        <w:rPr>
          <w:rFonts w:ascii="Times New Roman" w:hAnsi="Times New Roman" w:eastAsia="宋体"/>
          <w:b w:val="0"/>
          <w:bCs w:val="0"/>
          <w:snapToGrid/>
          <w:color w:val="auto"/>
          <w:sz w:val="22"/>
          <w:szCs w:val="22"/>
          <w:highlight w:val="none"/>
        </w:rPr>
        <w:t>第二条 委托方应遵守的内容</w:t>
      </w:r>
    </w:p>
    <w:p w14:paraId="33E752CB">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（一）委托方及其工作人员不得索取、接受或者变相接受承担方的财物。不得在承担方报销任何应由委托方或个人支付的费用等。</w:t>
      </w:r>
    </w:p>
    <w:p w14:paraId="0848ED43">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（二）委托方工作人员不得接受可能影响公正执行公务的礼品、宴请以及旅游、健身、娱乐等活动安排，不得接受承担方提供的通讯工具、交通工具和高档办公用品等。</w:t>
      </w:r>
    </w:p>
    <w:p w14:paraId="73FF449A">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（三）委托方及其工作人员不得要求或者接受承担方为其住房装修、婚丧嫁娶活动、配偶子女的工作安排以及出国出境、旅游等提供方便等。</w:t>
      </w:r>
    </w:p>
    <w:p w14:paraId="133CD998">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（四）委托方工作人员的配偶、子女不得从事与委托方工程有关的材料设备供应、工程分包、劳务等经济活动等。</w:t>
      </w:r>
    </w:p>
    <w:p w14:paraId="422A44C8">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（五）除本合同规定外，委托方及其工作人员不得以任何理由向承担方推荐分包单位，不得要求承担方购买合同规定外的材料和设备。</w:t>
      </w:r>
    </w:p>
    <w:p w14:paraId="35227412">
      <w:pPr>
        <w:snapToGrid w:val="0"/>
        <w:spacing w:line="540" w:lineRule="exact"/>
        <w:ind w:firstLine="440" w:firstLineChars="200"/>
        <w:rPr>
          <w:rFonts w:ascii="Times New Roman" w:hAnsi="Times New Roman" w:eastAsia="宋体"/>
          <w:b w:val="0"/>
          <w:bCs w:val="0"/>
          <w:snapToGrid/>
          <w:color w:val="auto"/>
          <w:sz w:val="22"/>
          <w:szCs w:val="22"/>
          <w:highlight w:val="none"/>
        </w:rPr>
      </w:pPr>
      <w:r>
        <w:rPr>
          <w:rFonts w:ascii="Times New Roman" w:hAnsi="Times New Roman" w:eastAsia="宋体"/>
          <w:b w:val="0"/>
          <w:bCs w:val="0"/>
          <w:snapToGrid/>
          <w:color w:val="auto"/>
          <w:sz w:val="22"/>
          <w:szCs w:val="22"/>
          <w:highlight w:val="none"/>
        </w:rPr>
        <w:t>第三条  承担方应遵守的内容</w:t>
      </w:r>
    </w:p>
    <w:p w14:paraId="346BFC2E">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（一）承担方应承诺投标过程中不存在任何违纪违规行为，并承诺在合同履行过程中，严格遵守本合同约定以及国家法律法规。</w:t>
      </w:r>
    </w:p>
    <w:p w14:paraId="54847404">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（二）承担方不得以任何理由向委托方及其工作人员行贿或馈赠财物。</w:t>
      </w:r>
    </w:p>
    <w:p w14:paraId="1281C5DF">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（三）承担方不得以任何名义为委托方及其工作人员报销应由委托方或个人支付的任何费用。</w:t>
      </w:r>
    </w:p>
    <w:p w14:paraId="64FC7F12">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（四）承担方不得以任何理由邀请委托方及其工作人员外出旅游或安排委托方工作人员参加宴请及娱乐活动。</w:t>
      </w:r>
    </w:p>
    <w:p w14:paraId="52A1A766">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（五）承担方不得为委托方和个人购置或提供通讯工具、交通工具和高档办公用品等。</w:t>
      </w:r>
    </w:p>
    <w:p w14:paraId="11932F34">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（六）承担方及其工作人员应严格按监理规程办事，不得为谋取私利向监理人员非法行贿，私下串通，损害委托方利益。同时必须对监理单位和工程监理人员履行向委托方承诺的上述其他廉政义务。</w:t>
      </w:r>
    </w:p>
    <w:p w14:paraId="446CEF4A">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七）承担方如果委托方工作人员或工程监理人员有违反廉政规定的行为，应向委托方组织或上级单位举报。委托方和工程监理部门不得找任何借口对承担方进行报复。委托方对举报属实或严格遵守廉政合同的承担方，在同等条件下给予承接后续工程的优先邀请投标权。</w:t>
      </w:r>
    </w:p>
    <w:p w14:paraId="09A86916">
      <w:pPr>
        <w:snapToGrid w:val="0"/>
        <w:spacing w:line="540" w:lineRule="exact"/>
        <w:ind w:firstLine="440" w:firstLineChars="200"/>
        <w:rPr>
          <w:rFonts w:ascii="Times New Roman" w:hAnsi="Times New Roman" w:eastAsia="宋体"/>
          <w:b w:val="0"/>
          <w:bCs w:val="0"/>
          <w:snapToGrid/>
          <w:color w:val="auto"/>
          <w:sz w:val="22"/>
          <w:szCs w:val="22"/>
          <w:highlight w:val="none"/>
        </w:rPr>
      </w:pPr>
      <w:r>
        <w:rPr>
          <w:rFonts w:ascii="Times New Roman" w:hAnsi="Times New Roman" w:eastAsia="宋体"/>
          <w:b w:val="0"/>
          <w:bCs w:val="0"/>
          <w:snapToGrid/>
          <w:color w:val="auto"/>
          <w:sz w:val="22"/>
          <w:szCs w:val="22"/>
          <w:highlight w:val="none"/>
        </w:rPr>
        <w:t>第四条  违约责任</w:t>
      </w:r>
    </w:p>
    <w:p w14:paraId="7B50E61B">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（一）委托方及其工作人员违反本合同第一、二条，按管理权限，依据有关规定给予党纪、政纪或组织处理；涉嫌犯罪的，移交司法机关追究刑事责任；给承担方造成经济损失的，应予以赔偿。</w:t>
      </w:r>
    </w:p>
    <w:p w14:paraId="7EA416A2">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snapToGrid/>
          <w:color w:val="auto"/>
          <w:sz w:val="22"/>
          <w:szCs w:val="22"/>
          <w:highlight w:val="none"/>
        </w:rPr>
        <w:t>（二）承担方及其工作人员违反本合同第一、三条的，按管理权限，依据有关规定，给予党纪、政纪或组织处理；给委托方造成经济损失的，应予以赔偿；情节严重的，委托方建议建设行政主管部门给予承担方二至五年内不得进入其主管的工程建设市场的处罚。</w:t>
      </w:r>
    </w:p>
    <w:p w14:paraId="7F63EBE8">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b w:val="0"/>
          <w:bCs w:val="0"/>
          <w:snapToGrid/>
          <w:color w:val="auto"/>
          <w:sz w:val="22"/>
          <w:szCs w:val="22"/>
          <w:highlight w:val="none"/>
        </w:rPr>
        <w:t xml:space="preserve">第五条  </w:t>
      </w:r>
      <w:r>
        <w:rPr>
          <w:rFonts w:ascii="Times New Roman" w:hAnsi="Times New Roman" w:eastAsia="宋体"/>
          <w:snapToGrid/>
          <w:color w:val="auto"/>
          <w:sz w:val="22"/>
          <w:szCs w:val="22"/>
          <w:highlight w:val="none"/>
        </w:rPr>
        <w:t>本《廉政协议》的监督单位为项目双方的纪检监察机构。委托方纪检监督电话：</w:t>
      </w:r>
      <w:r>
        <w:rPr>
          <w:rFonts w:ascii="Times New Roman" w:hAnsi="Times New Roman" w:eastAsia="宋体"/>
          <w:snapToGrid/>
          <w:color w:val="auto"/>
          <w:sz w:val="22"/>
          <w:szCs w:val="22"/>
          <w:highlight w:val="none"/>
          <w:u w:val="none"/>
        </w:rPr>
        <w:t xml:space="preserve">            </w:t>
      </w:r>
      <w:r>
        <w:rPr>
          <w:rFonts w:ascii="Times New Roman" w:hAnsi="Times New Roman" w:eastAsia="宋体"/>
          <w:snapToGrid/>
          <w:color w:val="auto"/>
          <w:sz w:val="22"/>
          <w:szCs w:val="22"/>
          <w:highlight w:val="none"/>
        </w:rPr>
        <w:t>，承担方纪检监督电话：</w:t>
      </w:r>
      <w:r>
        <w:rPr>
          <w:rFonts w:ascii="Times New Roman" w:hAnsi="Times New Roman" w:eastAsia="宋体"/>
          <w:snapToGrid/>
          <w:color w:val="auto"/>
          <w:sz w:val="22"/>
          <w:szCs w:val="22"/>
          <w:highlight w:val="none"/>
          <w:u w:val="none"/>
        </w:rPr>
        <w:t xml:space="preserve">            </w:t>
      </w:r>
      <w:r>
        <w:rPr>
          <w:rFonts w:ascii="Times New Roman" w:hAnsi="Times New Roman" w:eastAsia="宋体"/>
          <w:snapToGrid/>
          <w:color w:val="auto"/>
          <w:sz w:val="22"/>
          <w:szCs w:val="22"/>
          <w:highlight w:val="none"/>
        </w:rPr>
        <w:t>。</w:t>
      </w:r>
    </w:p>
    <w:p w14:paraId="75895CF8">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b w:val="0"/>
          <w:bCs w:val="0"/>
          <w:snapToGrid/>
          <w:color w:val="auto"/>
          <w:sz w:val="22"/>
          <w:szCs w:val="22"/>
          <w:highlight w:val="none"/>
        </w:rPr>
        <w:t>第六条</w:t>
      </w:r>
      <w:r>
        <w:rPr>
          <w:rFonts w:ascii="Times New Roman" w:hAnsi="Times New Roman" w:eastAsia="宋体"/>
          <w:snapToGrid/>
          <w:color w:val="auto"/>
          <w:sz w:val="22"/>
          <w:szCs w:val="22"/>
          <w:highlight w:val="none"/>
        </w:rPr>
        <w:t xml:space="preserve">  本协议有效期为委托方和承担方双方签署之日起至该合同工程完工验收后止。</w:t>
      </w:r>
    </w:p>
    <w:p w14:paraId="69D996CB">
      <w:pPr>
        <w:snapToGrid w:val="0"/>
        <w:spacing w:line="540" w:lineRule="exact"/>
        <w:ind w:firstLine="440" w:firstLineChars="200"/>
        <w:rPr>
          <w:rFonts w:ascii="Times New Roman" w:hAnsi="Times New Roman" w:eastAsia="宋体"/>
          <w:snapToGrid/>
          <w:color w:val="auto"/>
          <w:sz w:val="22"/>
          <w:szCs w:val="22"/>
          <w:highlight w:val="none"/>
        </w:rPr>
      </w:pPr>
      <w:r>
        <w:rPr>
          <w:rFonts w:ascii="Times New Roman" w:hAnsi="Times New Roman" w:eastAsia="宋体"/>
          <w:b w:val="0"/>
          <w:bCs w:val="0"/>
          <w:snapToGrid/>
          <w:color w:val="auto"/>
          <w:sz w:val="22"/>
          <w:szCs w:val="22"/>
          <w:highlight w:val="none"/>
        </w:rPr>
        <w:t>第七条</w:t>
      </w:r>
      <w:r>
        <w:rPr>
          <w:rFonts w:ascii="Times New Roman" w:hAnsi="Times New Roman" w:eastAsia="宋体"/>
          <w:snapToGrid/>
          <w:color w:val="auto"/>
          <w:sz w:val="22"/>
          <w:szCs w:val="22"/>
          <w:highlight w:val="none"/>
        </w:rPr>
        <w:t xml:space="preserve">  本协议作为</w:t>
      </w:r>
      <w:r>
        <w:rPr>
          <w:rFonts w:ascii="Times New Roman" w:hAnsi="Times New Roman" w:eastAsia="宋体"/>
          <w:snapToGrid/>
          <w:color w:val="auto"/>
          <w:sz w:val="22"/>
          <w:szCs w:val="22"/>
          <w:highlight w:val="none"/>
          <w:u w:val="none"/>
        </w:rPr>
        <w:t xml:space="preserve">       </w:t>
      </w:r>
      <w:r>
        <w:rPr>
          <w:rFonts w:ascii="Times New Roman" w:hAnsi="Times New Roman" w:eastAsia="宋体"/>
          <w:snapToGrid/>
          <w:color w:val="auto"/>
          <w:sz w:val="22"/>
          <w:szCs w:val="22"/>
          <w:highlight w:val="none"/>
        </w:rPr>
        <w:t>合同的附件，与</w:t>
      </w:r>
      <w:r>
        <w:rPr>
          <w:rFonts w:ascii="Times New Roman" w:hAnsi="Times New Roman" w:eastAsia="宋体"/>
          <w:snapToGrid/>
          <w:color w:val="auto"/>
          <w:sz w:val="22"/>
          <w:szCs w:val="22"/>
          <w:highlight w:val="none"/>
          <w:u w:val="none"/>
        </w:rPr>
        <w:t xml:space="preserve">       </w:t>
      </w:r>
      <w:r>
        <w:rPr>
          <w:rFonts w:ascii="Times New Roman" w:hAnsi="Times New Roman" w:eastAsia="宋体"/>
          <w:snapToGrid/>
          <w:color w:val="auto"/>
          <w:sz w:val="22"/>
          <w:szCs w:val="22"/>
          <w:highlight w:val="none"/>
        </w:rPr>
        <w:t>合同具有同等的法律效力，经双方单位</w:t>
      </w:r>
      <w:r>
        <w:rPr>
          <w:rFonts w:ascii="Times New Roman" w:hAnsi="Times New Roman" w:eastAsia="宋体"/>
          <w:snapToGrid/>
          <w:color w:val="auto"/>
          <w:sz w:val="22"/>
          <w:szCs w:val="22"/>
          <w:highlight w:val="none"/>
          <w:lang w:val="en-US" w:eastAsia="zh-CN"/>
        </w:rPr>
        <w:t>均</w:t>
      </w:r>
      <w:r>
        <w:rPr>
          <w:rFonts w:ascii="Times New Roman" w:hAnsi="Times New Roman" w:eastAsia="宋体"/>
          <w:snapToGrid/>
          <w:color w:val="auto"/>
          <w:sz w:val="22"/>
          <w:szCs w:val="22"/>
          <w:highlight w:val="none"/>
        </w:rPr>
        <w:t>加盖公章或合同专用章后生效。</w:t>
      </w:r>
    </w:p>
    <w:p w14:paraId="4D6429BC">
      <w:pPr>
        <w:snapToGrid w:val="0"/>
        <w:spacing w:line="540" w:lineRule="exact"/>
        <w:ind w:firstLine="440" w:firstLineChars="200"/>
        <w:rPr>
          <w:rFonts w:ascii="Times New Roman" w:hAnsi="Times New Roman" w:eastAsia="宋体"/>
          <w:color w:val="auto"/>
          <w:sz w:val="22"/>
          <w:szCs w:val="22"/>
          <w:highlight w:val="none"/>
        </w:rPr>
      </w:pPr>
    </w:p>
    <w:p w14:paraId="66E48A73">
      <w:pPr>
        <w:snapToGrid w:val="0"/>
        <w:spacing w:line="540" w:lineRule="exact"/>
        <w:ind w:firstLine="440" w:firstLineChars="200"/>
        <w:rPr>
          <w:rFonts w:ascii="Times New Roman" w:hAnsi="Times New Roman" w:eastAsia="宋体"/>
          <w:color w:val="auto"/>
          <w:sz w:val="22"/>
          <w:szCs w:val="22"/>
          <w:highlight w:val="none"/>
        </w:rPr>
      </w:pPr>
    </w:p>
    <w:p w14:paraId="5316A7DE">
      <w:pPr>
        <w:snapToGrid w:val="0"/>
        <w:spacing w:line="540" w:lineRule="exact"/>
        <w:ind w:firstLine="0"/>
        <w:rPr>
          <w:rFonts w:ascii="Times New Roman" w:hAnsi="Times New Roman" w:eastAsia="宋体"/>
          <w:color w:val="auto"/>
          <w:sz w:val="22"/>
          <w:szCs w:val="22"/>
          <w:highlight w:val="none"/>
        </w:rPr>
      </w:pPr>
    </w:p>
    <w:p w14:paraId="3C6C2204">
      <w:pPr>
        <w:snapToGrid w:val="0"/>
        <w:spacing w:line="540" w:lineRule="exact"/>
        <w:ind w:firstLine="440" w:firstLineChars="2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（以下为签章页）</w:t>
      </w:r>
    </w:p>
    <w:p w14:paraId="62FFD014">
      <w:pPr>
        <w:snapToGrid w:val="0"/>
        <w:spacing w:line="540" w:lineRule="exact"/>
        <w:ind w:firstLine="440" w:firstLineChars="200"/>
        <w:rPr>
          <w:rFonts w:ascii="Times New Roman" w:hAnsi="Times New Roman" w:eastAsia="宋体"/>
          <w:color w:val="auto"/>
          <w:sz w:val="22"/>
          <w:szCs w:val="22"/>
          <w:highlight w:val="none"/>
        </w:rPr>
      </w:pPr>
    </w:p>
    <w:p w14:paraId="5E535A4B">
      <w:pPr>
        <w:spacing w:line="720" w:lineRule="auto"/>
        <w:rPr>
          <w:color w:val="auto"/>
          <w:szCs w:val="21"/>
          <w:highlight w:val="none"/>
        </w:rPr>
      </w:pPr>
      <w:r>
        <w:rPr>
          <w:rFonts w:ascii="Times New Roman" w:hAnsi="Times New Roman" w:eastAsia="宋体"/>
          <w:color w:val="auto"/>
          <w:sz w:val="22"/>
          <w:szCs w:val="22"/>
          <w:highlight w:val="none"/>
        </w:rPr>
        <w:t>委托方：</w:t>
      </w:r>
      <w:r>
        <w:rPr>
          <w:rFonts w:hint="eastAsia"/>
          <w:color w:val="auto"/>
          <w:szCs w:val="21"/>
          <w:highlight w:val="none"/>
        </w:rPr>
        <w:t>重庆西永微电子产业园区开发有限公司（项目业主）</w:t>
      </w:r>
      <w:r>
        <w:rPr>
          <w:color w:val="auto"/>
          <w:szCs w:val="21"/>
          <w:highlight w:val="none"/>
        </w:rPr>
        <w:t xml:space="preserve">                         </w:t>
      </w:r>
    </w:p>
    <w:p w14:paraId="468E64B1">
      <w:pPr>
        <w:spacing w:line="720" w:lineRule="auto"/>
        <w:ind w:firstLine="480" w:firstLineChars="200"/>
        <w:rPr>
          <w:color w:val="auto"/>
          <w:szCs w:val="21"/>
          <w:highlight w:val="none"/>
        </w:rPr>
      </w:pPr>
      <w:r>
        <w:rPr>
          <w:color w:val="auto"/>
          <w:szCs w:val="21"/>
          <w:highlight w:val="none"/>
        </w:rPr>
        <w:t>委托方</w:t>
      </w:r>
      <w:r>
        <w:rPr>
          <w:rFonts w:hint="eastAsia"/>
          <w:color w:val="auto"/>
          <w:szCs w:val="21"/>
          <w:highlight w:val="none"/>
        </w:rPr>
        <w:t>：重庆科学城城市建设集团有限公司（代理业主）</w:t>
      </w:r>
    </w:p>
    <w:p w14:paraId="4660CAFF">
      <w:pPr>
        <w:spacing w:line="720" w:lineRule="auto"/>
        <w:rPr>
          <w:color w:val="auto"/>
          <w:szCs w:val="21"/>
          <w:highlight w:val="none"/>
        </w:rPr>
      </w:pPr>
      <w:r>
        <w:rPr>
          <w:color w:val="auto"/>
          <w:szCs w:val="21"/>
          <w:highlight w:val="none"/>
        </w:rPr>
        <w:t xml:space="preserve">                           </w:t>
      </w:r>
    </w:p>
    <w:p w14:paraId="6D9C8FD1">
      <w:pPr>
        <w:snapToGrid w:val="0"/>
        <w:spacing w:line="540" w:lineRule="exact"/>
        <w:ind w:left="0" w:firstLine="440" w:firstLineChars="2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 xml:space="preserve">承担方：                                        </w:t>
      </w:r>
    </w:p>
    <w:p w14:paraId="4B710181">
      <w:pPr>
        <w:snapToGrid w:val="0"/>
        <w:spacing w:line="540" w:lineRule="exact"/>
        <w:ind w:left="0" w:firstLine="440" w:firstLineChars="2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 xml:space="preserve">项目经办人：                                   </w:t>
      </w:r>
    </w:p>
    <w:p w14:paraId="2C8CBBE5">
      <w:pPr>
        <w:snapToGrid w:val="0"/>
        <w:spacing w:line="540" w:lineRule="exact"/>
        <w:ind w:firstLine="440" w:firstLineChars="200"/>
        <w:rPr>
          <w:rFonts w:ascii="Times New Roman" w:hAnsi="Times New Roman" w:eastAsia="宋体"/>
          <w:b w:val="0"/>
          <w:bCs w:val="0"/>
          <w:color w:val="auto"/>
          <w:sz w:val="22"/>
          <w:szCs w:val="22"/>
          <w:highlight w:val="none"/>
        </w:rPr>
      </w:pPr>
      <w:r>
        <w:rPr>
          <w:rFonts w:ascii="Times New Roman" w:hAnsi="Times New Roman" w:eastAsia="宋体"/>
          <w:b w:val="0"/>
          <w:bCs w:val="0"/>
          <w:color w:val="auto"/>
          <w:sz w:val="22"/>
          <w:szCs w:val="22"/>
          <w:highlight w:val="none"/>
        </w:rPr>
        <w:t>联系电话：</w:t>
      </w:r>
      <w:r>
        <w:rPr>
          <w:rFonts w:ascii="Times New Roman" w:hAnsi="Times New Roman" w:eastAsia="宋体"/>
          <w:b w:val="0"/>
          <w:bCs w:val="0"/>
          <w:color w:val="auto"/>
          <w:sz w:val="22"/>
          <w:szCs w:val="22"/>
          <w:highlight w:val="none"/>
        </w:rPr>
        <w:tab/>
      </w:r>
      <w:r>
        <w:rPr>
          <w:rFonts w:ascii="Times New Roman" w:hAnsi="Times New Roman" w:eastAsia="宋体"/>
          <w:b w:val="0"/>
          <w:bCs w:val="0"/>
          <w:color w:val="auto"/>
          <w:sz w:val="22"/>
          <w:szCs w:val="22"/>
          <w:highlight w:val="none"/>
        </w:rPr>
        <w:t xml:space="preserve">    </w:t>
      </w:r>
    </w:p>
    <w:p w14:paraId="47CEAB31">
      <w:pPr>
        <w:snapToGrid/>
        <w:spacing w:line="240" w:lineRule="auto"/>
        <w:ind w:firstLine="0" w:firstLineChars="0"/>
        <w:rPr>
          <w:rFonts w:ascii="Times New Roman" w:hAnsi="Times New Roman" w:eastAsia="宋体"/>
          <w:b w:val="0"/>
          <w:bCs w:val="0"/>
          <w:color w:val="auto"/>
          <w:sz w:val="22"/>
          <w:szCs w:val="22"/>
          <w:highlight w:val="none"/>
        </w:rPr>
      </w:pPr>
      <w:r>
        <w:rPr>
          <w:rFonts w:ascii="Times New Roman" w:hAnsi="Times New Roman" w:eastAsia="宋体"/>
          <w:b w:val="0"/>
          <w:bCs w:val="0"/>
          <w:color w:val="auto"/>
          <w:sz w:val="22"/>
          <w:szCs w:val="22"/>
          <w:highlight w:val="none"/>
        </w:rPr>
        <w:br w:type="page"/>
      </w:r>
    </w:p>
    <w:p w14:paraId="5EBCD781">
      <w:pPr>
        <w:snapToGrid w:val="0"/>
        <w:spacing w:line="540" w:lineRule="exact"/>
        <w:ind w:firstLine="440" w:firstLineChars="200"/>
        <w:rPr>
          <w:rFonts w:ascii="Times New Roman" w:hAnsi="Times New Roman" w:eastAsia="宋体"/>
          <w:color w:val="auto"/>
          <w:sz w:val="22"/>
          <w:szCs w:val="22"/>
          <w:highlight w:val="none"/>
        </w:rPr>
      </w:pPr>
      <w:r>
        <w:rPr>
          <w:rFonts w:ascii="Times New Roman" w:hAnsi="Times New Roman" w:eastAsia="宋体"/>
          <w:b w:val="0"/>
          <w:bCs w:val="0"/>
          <w:color w:val="auto"/>
          <w:sz w:val="22"/>
          <w:szCs w:val="22"/>
          <w:highlight w:val="none"/>
        </w:rPr>
        <w:t xml:space="preserve">                              </w:t>
      </w:r>
    </w:p>
    <w:p w14:paraId="7B122D39">
      <w:pPr>
        <w:jc w:val="center"/>
        <w:textAlignment w:val="auto"/>
        <w:rPr>
          <w:rFonts w:ascii="黑体" w:eastAsia="黑体"/>
          <w:b/>
          <w:color w:val="auto"/>
          <w:kern w:val="2"/>
          <w:sz w:val="44"/>
          <w:szCs w:val="44"/>
          <w:highlight w:val="none"/>
        </w:rPr>
      </w:pPr>
      <w:r>
        <w:rPr>
          <w:rFonts w:ascii="黑体" w:eastAsia="黑体"/>
          <w:b/>
          <w:color w:val="auto"/>
          <w:kern w:val="2"/>
          <w:sz w:val="44"/>
          <w:szCs w:val="44"/>
          <w:highlight w:val="none"/>
        </w:rPr>
        <w:t>第五章  技术标准和要求</w:t>
      </w:r>
    </w:p>
    <w:p w14:paraId="2CF0F946">
      <w:pPr>
        <w:snapToGrid w:val="0"/>
        <w:rPr>
          <w:rFonts w:ascii="宋体"/>
          <w:color w:val="auto"/>
          <w:highlight w:val="none"/>
        </w:rPr>
      </w:pPr>
      <w:r>
        <w:rPr>
          <w:rFonts w:ascii="宋体"/>
          <w:color w:val="auto"/>
          <w:highlight w:val="none"/>
        </w:rPr>
        <w:t xml:space="preserve"> </w:t>
      </w:r>
    </w:p>
    <w:p w14:paraId="0BD03AC9">
      <w:pPr>
        <w:snapToGrid w:val="0"/>
        <w:rPr>
          <w:rFonts w:ascii="宋体"/>
          <w:color w:val="auto"/>
          <w:highlight w:val="none"/>
        </w:rPr>
      </w:pPr>
      <w:r>
        <w:rPr>
          <w:rFonts w:ascii="宋体"/>
          <w:color w:val="auto"/>
          <w:highlight w:val="none"/>
        </w:rPr>
        <w:t xml:space="preserve"> </w:t>
      </w:r>
      <w:r>
        <w:rPr>
          <w:rFonts w:ascii="宋体"/>
          <w:color w:val="auto"/>
          <w:highlight w:val="none"/>
        </w:rPr>
        <w:t>按国家、重庆市及重庆高新区主管部门或行业协议等发布的有关轨道交通第三方监测的规范、规程、标准及相关规定执行。</w:t>
      </w:r>
    </w:p>
    <w:p w14:paraId="3F5405CA">
      <w:pPr>
        <w:snapToGrid w:val="0"/>
        <w:rPr>
          <w:rFonts w:ascii="宋体"/>
          <w:color w:val="auto"/>
          <w:highlight w:val="none"/>
        </w:rPr>
      </w:pPr>
      <w:r>
        <w:rPr>
          <w:rFonts w:ascii="宋体"/>
          <w:color w:val="auto"/>
          <w:highlight w:val="none"/>
        </w:rPr>
        <w:t xml:space="preserve"> </w:t>
      </w:r>
    </w:p>
    <w:p w14:paraId="55E46349">
      <w:pPr>
        <w:snapToGrid w:val="0"/>
        <w:rPr>
          <w:rFonts w:ascii="宋体" w:cs="宋体"/>
          <w:b/>
          <w:bCs/>
          <w:color w:val="auto"/>
          <w:kern w:val="44"/>
          <w:sz w:val="32"/>
          <w:szCs w:val="32"/>
          <w:highlight w:val="none"/>
        </w:rPr>
        <w:sectPr>
          <w:headerReference r:id="rId4" w:type="default"/>
          <w:footerReference r:id="rId5" w:type="default"/>
          <w:pgSz w:w="11906" w:h="16838"/>
          <w:pgMar w:top="1304" w:right="1417" w:bottom="1304" w:left="1417" w:header="851" w:footer="992" w:gutter="0"/>
          <w:cols w:space="720" w:num="1"/>
          <w:docGrid w:type="lines" w:linePitch="336" w:charSpace="0"/>
        </w:sectPr>
      </w:pPr>
    </w:p>
    <w:p w14:paraId="058A48B2">
      <w:pPr>
        <w:snapToGrid w:val="0"/>
        <w:spacing w:line="500" w:lineRule="exact"/>
        <w:jc w:val="center"/>
        <w:rPr>
          <w:rFonts w:ascii="黑体" w:eastAsia="黑体"/>
          <w:b/>
          <w:color w:val="auto"/>
          <w:kern w:val="2"/>
          <w:sz w:val="44"/>
          <w:szCs w:val="44"/>
          <w:highlight w:val="none"/>
        </w:rPr>
      </w:pPr>
      <w:r>
        <w:rPr>
          <w:rFonts w:ascii="黑体" w:eastAsia="黑体"/>
          <w:b/>
          <w:color w:val="auto"/>
          <w:kern w:val="2"/>
          <w:sz w:val="44"/>
          <w:szCs w:val="44"/>
          <w:highlight w:val="none"/>
        </w:rPr>
        <w:t>第六章 竞选文件格式</w:t>
      </w:r>
    </w:p>
    <w:p w14:paraId="02507B67">
      <w:pPr>
        <w:snapToGrid w:val="0"/>
        <w:rPr>
          <w:rFonts w:ascii="宋体"/>
          <w:b/>
          <w:color w:val="auto"/>
          <w:sz w:val="32"/>
          <w:szCs w:val="32"/>
          <w:highlight w:val="none"/>
        </w:rPr>
      </w:pPr>
      <w:r>
        <w:rPr>
          <w:rFonts w:ascii="宋体"/>
          <w:b/>
          <w:color w:val="auto"/>
          <w:sz w:val="32"/>
          <w:szCs w:val="32"/>
          <w:highlight w:val="none"/>
        </w:rPr>
        <w:br w:type="page"/>
      </w:r>
    </w:p>
    <w:p w14:paraId="5598A408">
      <w:pPr>
        <w:snapToGrid w:val="0"/>
        <w:rPr>
          <w:rFonts w:ascii="宋体"/>
          <w:b/>
          <w:color w:val="auto"/>
          <w:sz w:val="32"/>
          <w:szCs w:val="32"/>
          <w:highlight w:val="none"/>
        </w:rPr>
      </w:pPr>
    </w:p>
    <w:p w14:paraId="498FB46B">
      <w:pPr>
        <w:snapToGrid w:val="0"/>
        <w:jc w:val="center"/>
        <w:rPr>
          <w:rFonts w:ascii="宋体"/>
          <w:b/>
          <w:color w:val="auto"/>
          <w:highlight w:val="none"/>
        </w:rPr>
      </w:pPr>
      <w:r>
        <w:rPr>
          <w:rFonts w:ascii="宋体"/>
          <w:b/>
          <w:color w:val="auto"/>
          <w:sz w:val="32"/>
          <w:szCs w:val="32"/>
          <w:highlight w:val="none"/>
        </w:rPr>
        <w:t>目  录</w:t>
      </w:r>
    </w:p>
    <w:p w14:paraId="1BB14DD9">
      <w:pPr>
        <w:snapToGrid w:val="0"/>
        <w:spacing w:line="600" w:lineRule="exact"/>
        <w:ind w:right="-23" w:firstLine="221" w:firstLineChars="100"/>
        <w:rPr>
          <w:rFonts w:ascii="宋体" w:cs="MingLiU"/>
          <w:b/>
          <w:bCs/>
          <w:color w:val="auto"/>
          <w:sz w:val="22"/>
          <w:szCs w:val="22"/>
          <w:highlight w:val="none"/>
        </w:rPr>
      </w:pPr>
      <w:r>
        <w:rPr>
          <w:rFonts w:ascii="宋体" w:cs="MingLiU"/>
          <w:b/>
          <w:bCs/>
          <w:color w:val="auto"/>
          <w:sz w:val="22"/>
          <w:szCs w:val="22"/>
          <w:highlight w:val="none"/>
        </w:rPr>
        <w:t>一、竞选函部分</w:t>
      </w:r>
      <w:r>
        <w:rPr>
          <w:rFonts w:hint="eastAsia" w:ascii="宋体" w:cs="MingLiU"/>
          <w:b/>
          <w:bCs/>
          <w:color w:val="auto"/>
          <w:sz w:val="22"/>
          <w:szCs w:val="22"/>
          <w:highlight w:val="none"/>
        </w:rPr>
        <w:t>（含</w:t>
      </w:r>
      <w:r>
        <w:rPr>
          <w:rFonts w:ascii="宋体" w:cs="MingLiU"/>
          <w:b/>
          <w:bCs/>
          <w:color w:val="auto"/>
          <w:sz w:val="22"/>
          <w:szCs w:val="22"/>
          <w:highlight w:val="none"/>
        </w:rPr>
        <w:t>资格审查部分</w:t>
      </w:r>
      <w:r>
        <w:rPr>
          <w:rFonts w:hint="eastAsia" w:ascii="宋体" w:cs="MingLiU"/>
          <w:b/>
          <w:bCs/>
          <w:color w:val="auto"/>
          <w:sz w:val="22"/>
          <w:szCs w:val="22"/>
          <w:highlight w:val="none"/>
        </w:rPr>
        <w:t>）</w:t>
      </w:r>
    </w:p>
    <w:p w14:paraId="0FEE1AAF">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（一）竞选函</w:t>
      </w:r>
    </w:p>
    <w:p w14:paraId="173D675D">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（二）法定代表人身份证明或附有法定代表人身份证明的授权委托书</w:t>
      </w:r>
    </w:p>
    <w:p w14:paraId="5B8112FF">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（三）低价风险担保提交承诺书（如有）</w:t>
      </w:r>
    </w:p>
    <w:p w14:paraId="641DB48C">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（四）竞选人基本情况表</w:t>
      </w:r>
    </w:p>
    <w:p w14:paraId="7AB16AFC">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五</w:t>
      </w:r>
      <w:r>
        <w:rPr>
          <w:rFonts w:ascii="宋体"/>
          <w:color w:val="auto"/>
          <w:sz w:val="22"/>
          <w:szCs w:val="22"/>
          <w:highlight w:val="none"/>
        </w:rPr>
        <w:t>）项目管理机构</w:t>
      </w:r>
    </w:p>
    <w:p w14:paraId="24FFCEA9">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六</w:t>
      </w:r>
      <w:r>
        <w:rPr>
          <w:rFonts w:ascii="宋体"/>
          <w:color w:val="auto"/>
          <w:sz w:val="22"/>
          <w:szCs w:val="22"/>
          <w:highlight w:val="none"/>
        </w:rPr>
        <w:t>）财务要求</w:t>
      </w:r>
    </w:p>
    <w:p w14:paraId="41629D70">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七</w:t>
      </w:r>
      <w:r>
        <w:rPr>
          <w:rFonts w:ascii="宋体"/>
          <w:color w:val="auto"/>
          <w:sz w:val="22"/>
          <w:szCs w:val="22"/>
          <w:highlight w:val="none"/>
        </w:rPr>
        <w:t>）类似项目情况表</w:t>
      </w:r>
    </w:p>
    <w:p w14:paraId="33803AA0">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八</w:t>
      </w:r>
      <w:r>
        <w:rPr>
          <w:rFonts w:ascii="宋体"/>
          <w:color w:val="auto"/>
          <w:sz w:val="22"/>
          <w:szCs w:val="22"/>
          <w:highlight w:val="none"/>
        </w:rPr>
        <w:t>）承诺</w:t>
      </w:r>
    </w:p>
    <w:p w14:paraId="4505A176">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lang w:eastAsia="zh-CN"/>
        </w:rPr>
        <w:t>九</w:t>
      </w:r>
      <w:r>
        <w:rPr>
          <w:rFonts w:ascii="宋体"/>
          <w:color w:val="auto"/>
          <w:sz w:val="22"/>
          <w:szCs w:val="22"/>
          <w:highlight w:val="none"/>
        </w:rPr>
        <w:t>）其他资料</w:t>
      </w:r>
    </w:p>
    <w:p w14:paraId="7F33D772">
      <w:pPr>
        <w:snapToGrid w:val="0"/>
        <w:rPr>
          <w:rFonts w:ascii="宋体"/>
          <w:color w:val="auto"/>
          <w:sz w:val="44"/>
          <w:szCs w:val="44"/>
          <w:highlight w:val="none"/>
        </w:rPr>
      </w:pPr>
    </w:p>
    <w:p w14:paraId="0F888CBB">
      <w:pPr>
        <w:pStyle w:val="17"/>
        <w:snapToGrid w:val="0"/>
        <w:spacing w:line="360" w:lineRule="auto"/>
        <w:jc w:val="center"/>
        <w:rPr>
          <w:rFonts w:ascii="宋体"/>
          <w:color w:val="auto"/>
          <w:sz w:val="44"/>
          <w:szCs w:val="44"/>
          <w:highlight w:val="none"/>
        </w:rPr>
      </w:pPr>
      <w:r>
        <w:rPr>
          <w:rFonts w:ascii="宋体"/>
          <w:color w:val="auto"/>
          <w:sz w:val="44"/>
          <w:szCs w:val="44"/>
          <w:highlight w:val="none"/>
        </w:rPr>
        <w:br w:type="page"/>
      </w:r>
    </w:p>
    <w:p w14:paraId="04777E8F">
      <w:pPr>
        <w:pStyle w:val="17"/>
        <w:snapToGrid w:val="0"/>
        <w:spacing w:line="360" w:lineRule="auto"/>
        <w:jc w:val="center"/>
        <w:rPr>
          <w:rFonts w:ascii="宋体"/>
          <w:color w:val="auto"/>
          <w:sz w:val="44"/>
          <w:szCs w:val="44"/>
          <w:highlight w:val="none"/>
        </w:rPr>
      </w:pPr>
      <w:r>
        <w:rPr>
          <w:rFonts w:ascii="宋体"/>
          <w:color w:val="auto"/>
          <w:sz w:val="44"/>
          <w:szCs w:val="44"/>
          <w:highlight w:val="none"/>
        </w:rPr>
        <w:t>一、竞选函部分</w:t>
      </w:r>
    </w:p>
    <w:p w14:paraId="50F6B7E2">
      <w:pPr>
        <w:snapToGrid w:val="0"/>
        <w:rPr>
          <w:rFonts w:ascii="宋体"/>
          <w:color w:val="auto"/>
          <w:highlight w:val="none"/>
        </w:rPr>
      </w:pPr>
      <w:r>
        <w:rPr>
          <w:rFonts w:ascii="宋体"/>
          <w:color w:val="auto"/>
          <w:highlight w:val="none"/>
        </w:rPr>
        <w:br w:type="page"/>
      </w:r>
    </w:p>
    <w:p w14:paraId="5DFB9AD8">
      <w:pPr>
        <w:snapToGrid w:val="0"/>
        <w:rPr>
          <w:rFonts w:ascii="宋体"/>
          <w:color w:val="auto"/>
          <w:highlight w:val="none"/>
        </w:rPr>
      </w:pPr>
    </w:p>
    <w:p w14:paraId="7BFDAE95">
      <w:pPr>
        <w:pStyle w:val="16"/>
        <w:snapToGrid w:val="0"/>
        <w:spacing w:before="312"/>
        <w:rPr>
          <w:rFonts w:ascii="宋体"/>
          <w:color w:val="auto"/>
          <w:highlight w:val="none"/>
        </w:rPr>
      </w:pPr>
      <w:r>
        <w:rPr>
          <w:rFonts w:ascii="宋体"/>
          <w:color w:val="auto"/>
          <w:highlight w:val="none"/>
        </w:rPr>
        <w:t xml:space="preserve"> </w:t>
      </w:r>
    </w:p>
    <w:p w14:paraId="11D6A498">
      <w:pPr>
        <w:snapToGrid w:val="0"/>
        <w:spacing w:line="360" w:lineRule="auto"/>
        <w:ind w:firstLine="562" w:firstLineChars="200"/>
        <w:rPr>
          <w:rFonts w:ascii="宋体"/>
          <w:b/>
          <w:color w:val="auto"/>
          <w:sz w:val="28"/>
          <w:szCs w:val="28"/>
          <w:highlight w:val="none"/>
        </w:rPr>
      </w:pPr>
      <w:r>
        <w:rPr>
          <w:rFonts w:ascii="宋体"/>
          <w:b/>
          <w:color w:val="auto"/>
          <w:sz w:val="28"/>
          <w:szCs w:val="28"/>
          <w:highlight w:val="none"/>
          <w:u w:val="single" w:color="000000"/>
        </w:rPr>
        <w:tab/>
      </w:r>
      <w:r>
        <w:rPr>
          <w:rFonts w:ascii="宋体"/>
          <w:b/>
          <w:color w:val="auto"/>
          <w:sz w:val="28"/>
          <w:szCs w:val="28"/>
          <w:highlight w:val="none"/>
          <w:u w:val="single" w:color="000000"/>
        </w:rPr>
        <w:t xml:space="preserve">                                             </w:t>
      </w:r>
      <w:r>
        <w:rPr>
          <w:rFonts w:ascii="宋体"/>
          <w:b/>
          <w:color w:val="auto"/>
          <w:sz w:val="28"/>
          <w:szCs w:val="28"/>
          <w:highlight w:val="none"/>
        </w:rPr>
        <w:t>（项目名称</w:t>
      </w:r>
      <w:r>
        <w:rPr>
          <w:rFonts w:ascii="宋体"/>
          <w:b/>
          <w:color w:val="auto"/>
          <w:spacing w:val="1"/>
          <w:sz w:val="28"/>
          <w:szCs w:val="28"/>
          <w:highlight w:val="none"/>
        </w:rPr>
        <w:t>）</w:t>
      </w:r>
    </w:p>
    <w:p w14:paraId="53B1967C">
      <w:pPr>
        <w:snapToGrid w:val="0"/>
        <w:spacing w:line="360" w:lineRule="auto"/>
        <w:ind w:firstLine="2074" w:firstLineChars="246"/>
        <w:rPr>
          <w:rFonts w:ascii="宋体"/>
          <w:b/>
          <w:color w:val="auto"/>
          <w:sz w:val="84"/>
          <w:szCs w:val="84"/>
          <w:highlight w:val="none"/>
        </w:rPr>
      </w:pPr>
      <w:r>
        <w:rPr>
          <w:rFonts w:ascii="宋体"/>
          <w:b/>
          <w:color w:val="auto"/>
          <w:sz w:val="84"/>
          <w:szCs w:val="84"/>
          <w:highlight w:val="none"/>
        </w:rPr>
        <w:t xml:space="preserve"> </w:t>
      </w:r>
    </w:p>
    <w:p w14:paraId="2B179F72">
      <w:pPr>
        <w:pStyle w:val="18"/>
        <w:snapToGrid w:val="0"/>
        <w:rPr>
          <w:rFonts w:ascii="宋体"/>
          <w:color w:val="auto"/>
          <w:highlight w:val="none"/>
        </w:rPr>
      </w:pPr>
      <w:r>
        <w:rPr>
          <w:rFonts w:ascii="宋体"/>
          <w:color w:val="auto"/>
          <w:highlight w:val="none"/>
        </w:rPr>
        <w:t xml:space="preserve"> </w:t>
      </w:r>
    </w:p>
    <w:p w14:paraId="12B74BF4">
      <w:pPr>
        <w:pStyle w:val="18"/>
        <w:snapToGrid w:val="0"/>
        <w:rPr>
          <w:rFonts w:ascii="宋体"/>
          <w:color w:val="auto"/>
          <w:highlight w:val="none"/>
        </w:rPr>
      </w:pPr>
      <w:r>
        <w:rPr>
          <w:rFonts w:ascii="宋体"/>
          <w:color w:val="auto"/>
          <w:highlight w:val="none"/>
        </w:rPr>
        <w:t xml:space="preserve"> </w:t>
      </w:r>
    </w:p>
    <w:p w14:paraId="25968601">
      <w:pPr>
        <w:snapToGrid w:val="0"/>
        <w:spacing w:line="360" w:lineRule="auto"/>
        <w:jc w:val="center"/>
        <w:rPr>
          <w:rFonts w:ascii="宋体"/>
          <w:b/>
          <w:color w:val="auto"/>
          <w:sz w:val="84"/>
          <w:szCs w:val="84"/>
          <w:highlight w:val="none"/>
        </w:rPr>
      </w:pPr>
      <w:r>
        <w:rPr>
          <w:rFonts w:ascii="宋体"/>
          <w:b/>
          <w:color w:val="auto"/>
          <w:sz w:val="84"/>
          <w:szCs w:val="84"/>
          <w:highlight w:val="none"/>
        </w:rPr>
        <w:t>竞 选 文 件</w:t>
      </w:r>
    </w:p>
    <w:p w14:paraId="72CC4C1C">
      <w:pPr>
        <w:snapToGrid w:val="0"/>
        <w:spacing w:line="360" w:lineRule="auto"/>
        <w:jc w:val="center"/>
        <w:rPr>
          <w:rFonts w:ascii="宋体" w:cs="Times New Roman"/>
          <w:b/>
          <w:bCs/>
          <w:color w:val="auto"/>
          <w:sz w:val="36"/>
          <w:szCs w:val="36"/>
          <w:highlight w:val="none"/>
        </w:rPr>
      </w:pPr>
      <w:r>
        <w:rPr>
          <w:rFonts w:ascii="宋体" w:cs="Times New Roman"/>
          <w:b/>
          <w:bCs/>
          <w:color w:val="auto"/>
          <w:sz w:val="28"/>
          <w:szCs w:val="28"/>
          <w:highlight w:val="none"/>
        </w:rPr>
        <w:t>竞选函部分</w:t>
      </w:r>
      <w:r>
        <w:rPr>
          <w:rFonts w:hint="eastAsia" w:ascii="宋体" w:cs="Times New Roman"/>
          <w:b/>
          <w:bCs/>
          <w:color w:val="auto"/>
          <w:sz w:val="28"/>
          <w:szCs w:val="28"/>
          <w:highlight w:val="none"/>
        </w:rPr>
        <w:t>（含资格审查部分）</w:t>
      </w:r>
    </w:p>
    <w:p w14:paraId="3CB64C12">
      <w:pPr>
        <w:pStyle w:val="16"/>
        <w:snapToGrid w:val="0"/>
        <w:spacing w:before="312"/>
        <w:rPr>
          <w:rFonts w:ascii="宋体"/>
          <w:color w:val="auto"/>
          <w:highlight w:val="none"/>
        </w:rPr>
      </w:pPr>
      <w:r>
        <w:rPr>
          <w:rFonts w:ascii="宋体"/>
          <w:color w:val="auto"/>
          <w:highlight w:val="none"/>
        </w:rPr>
        <w:t xml:space="preserve"> </w:t>
      </w:r>
    </w:p>
    <w:p w14:paraId="48DB58DC">
      <w:pPr>
        <w:snapToGrid w:val="0"/>
        <w:spacing w:line="360" w:lineRule="auto"/>
        <w:rPr>
          <w:rFonts w:ascii="宋体"/>
          <w:b/>
          <w:color w:val="auto"/>
          <w:sz w:val="20"/>
          <w:szCs w:val="20"/>
          <w:highlight w:val="none"/>
        </w:rPr>
      </w:pPr>
      <w:r>
        <w:rPr>
          <w:rFonts w:ascii="宋体"/>
          <w:b/>
          <w:color w:val="auto"/>
          <w:sz w:val="20"/>
          <w:szCs w:val="20"/>
          <w:highlight w:val="none"/>
        </w:rPr>
        <w:t xml:space="preserve"> </w:t>
      </w:r>
    </w:p>
    <w:p w14:paraId="2740A077">
      <w:pPr>
        <w:snapToGrid w:val="0"/>
        <w:spacing w:line="360" w:lineRule="auto"/>
        <w:rPr>
          <w:rFonts w:ascii="宋体"/>
          <w:color w:val="auto"/>
          <w:highlight w:val="none"/>
        </w:rPr>
      </w:pPr>
      <w:r>
        <w:rPr>
          <w:rFonts w:ascii="宋体"/>
          <w:b/>
          <w:color w:val="auto"/>
          <w:sz w:val="20"/>
          <w:szCs w:val="20"/>
          <w:highlight w:val="none"/>
        </w:rPr>
        <w:t xml:space="preserve"> </w:t>
      </w:r>
    </w:p>
    <w:p w14:paraId="37C0F922">
      <w:pPr>
        <w:snapToGrid w:val="0"/>
        <w:spacing w:line="360" w:lineRule="auto"/>
        <w:rPr>
          <w:rFonts w:ascii="宋体"/>
          <w:b/>
          <w:color w:val="auto"/>
          <w:sz w:val="20"/>
          <w:szCs w:val="20"/>
          <w:highlight w:val="none"/>
        </w:rPr>
      </w:pPr>
      <w:r>
        <w:rPr>
          <w:rFonts w:ascii="宋体"/>
          <w:b/>
          <w:color w:val="auto"/>
          <w:sz w:val="20"/>
          <w:szCs w:val="20"/>
          <w:highlight w:val="none"/>
        </w:rPr>
        <w:t xml:space="preserve"> </w:t>
      </w:r>
    </w:p>
    <w:p w14:paraId="0A03AE7F">
      <w:pPr>
        <w:snapToGrid w:val="0"/>
        <w:spacing w:line="360" w:lineRule="auto"/>
        <w:rPr>
          <w:rFonts w:ascii="宋体"/>
          <w:b/>
          <w:color w:val="auto"/>
          <w:sz w:val="20"/>
          <w:szCs w:val="20"/>
          <w:highlight w:val="none"/>
        </w:rPr>
      </w:pPr>
      <w:r>
        <w:rPr>
          <w:rFonts w:ascii="宋体"/>
          <w:b/>
          <w:color w:val="auto"/>
          <w:sz w:val="20"/>
          <w:szCs w:val="20"/>
          <w:highlight w:val="none"/>
        </w:rPr>
        <w:t xml:space="preserve"> </w:t>
      </w:r>
    </w:p>
    <w:p w14:paraId="16AFDD96">
      <w:pPr>
        <w:snapToGrid w:val="0"/>
        <w:spacing w:line="800" w:lineRule="exact"/>
        <w:jc w:val="center"/>
        <w:rPr>
          <w:rFonts w:ascii="宋体"/>
          <w:b/>
          <w:color w:val="auto"/>
          <w:sz w:val="28"/>
          <w:szCs w:val="28"/>
          <w:highlight w:val="none"/>
        </w:rPr>
      </w:pPr>
      <w:r>
        <w:rPr>
          <w:rFonts w:ascii="宋体"/>
          <w:b/>
          <w:color w:val="auto"/>
          <w:sz w:val="28"/>
          <w:szCs w:val="28"/>
          <w:highlight w:val="none"/>
        </w:rPr>
        <w:t>竞选人</w:t>
      </w:r>
      <w:r>
        <w:rPr>
          <w:rFonts w:ascii="宋体"/>
          <w:b/>
          <w:color w:val="auto"/>
          <w:spacing w:val="1"/>
          <w:sz w:val="28"/>
          <w:szCs w:val="28"/>
          <w:highlight w:val="none"/>
        </w:rPr>
        <w:t>：</w:t>
      </w:r>
      <w:r>
        <w:rPr>
          <w:rFonts w:ascii="宋体"/>
          <w:b/>
          <w:color w:val="auto"/>
          <w:sz w:val="28"/>
          <w:szCs w:val="28"/>
          <w:highlight w:val="none"/>
          <w:u w:val="single" w:color="000000"/>
        </w:rPr>
        <w:t xml:space="preserve">                                </w:t>
      </w:r>
      <w:r>
        <w:rPr>
          <w:rFonts w:ascii="宋体"/>
          <w:b/>
          <w:color w:val="auto"/>
          <w:sz w:val="28"/>
          <w:szCs w:val="28"/>
          <w:highlight w:val="none"/>
        </w:rPr>
        <w:t>（盖单位公章）</w:t>
      </w:r>
    </w:p>
    <w:p w14:paraId="1259BCF5">
      <w:pPr>
        <w:snapToGrid w:val="0"/>
        <w:spacing w:line="800" w:lineRule="exact"/>
        <w:jc w:val="center"/>
        <w:rPr>
          <w:rFonts w:ascii="宋体"/>
          <w:b/>
          <w:color w:val="auto"/>
          <w:sz w:val="28"/>
          <w:szCs w:val="28"/>
          <w:highlight w:val="none"/>
        </w:rPr>
      </w:pPr>
      <w:r>
        <w:rPr>
          <w:rFonts w:ascii="宋体"/>
          <w:b/>
          <w:color w:val="auto"/>
          <w:sz w:val="28"/>
          <w:szCs w:val="28"/>
          <w:highlight w:val="none"/>
        </w:rPr>
        <w:t>法定代表人或其委托代理人：</w:t>
      </w:r>
      <w:r>
        <w:rPr>
          <w:rFonts w:ascii="宋体"/>
          <w:b/>
          <w:color w:val="auto"/>
          <w:sz w:val="28"/>
          <w:szCs w:val="28"/>
          <w:highlight w:val="none"/>
          <w:u w:val="single" w:color="000000"/>
        </w:rPr>
        <w:t xml:space="preserve">               </w:t>
      </w:r>
      <w:r>
        <w:rPr>
          <w:rFonts w:ascii="宋体"/>
          <w:b/>
          <w:color w:val="auto"/>
          <w:sz w:val="28"/>
          <w:szCs w:val="28"/>
          <w:highlight w:val="none"/>
        </w:rPr>
        <w:t>（签字或盖章）</w:t>
      </w:r>
    </w:p>
    <w:p w14:paraId="7177058B">
      <w:pPr>
        <w:snapToGrid w:val="0"/>
        <w:spacing w:line="800" w:lineRule="exact"/>
        <w:jc w:val="center"/>
        <w:rPr>
          <w:rFonts w:ascii="宋体"/>
          <w:b/>
          <w:color w:val="auto"/>
          <w:sz w:val="28"/>
          <w:szCs w:val="28"/>
          <w:highlight w:val="none"/>
        </w:rPr>
      </w:pPr>
      <w:r>
        <w:rPr>
          <w:rFonts w:ascii="宋体"/>
          <w:b/>
          <w:color w:val="auto"/>
          <w:sz w:val="28"/>
          <w:szCs w:val="28"/>
          <w:highlight w:val="none"/>
          <w:u w:val="single" w:color="000000"/>
        </w:rPr>
        <w:t xml:space="preserve">      </w:t>
      </w:r>
      <w:r>
        <w:rPr>
          <w:rFonts w:ascii="宋体"/>
          <w:b/>
          <w:color w:val="auto"/>
          <w:sz w:val="28"/>
          <w:szCs w:val="28"/>
          <w:highlight w:val="none"/>
        </w:rPr>
        <w:t>年</w:t>
      </w:r>
      <w:r>
        <w:rPr>
          <w:rFonts w:ascii="宋体"/>
          <w:b/>
          <w:color w:val="auto"/>
          <w:sz w:val="28"/>
          <w:szCs w:val="28"/>
          <w:highlight w:val="none"/>
          <w:u w:val="single" w:color="000000"/>
        </w:rPr>
        <w:t xml:space="preserve">    </w:t>
      </w:r>
      <w:r>
        <w:rPr>
          <w:rFonts w:ascii="宋体"/>
          <w:b/>
          <w:color w:val="auto"/>
          <w:sz w:val="28"/>
          <w:szCs w:val="28"/>
          <w:highlight w:val="none"/>
        </w:rPr>
        <w:t>月</w:t>
      </w:r>
      <w:r>
        <w:rPr>
          <w:rFonts w:ascii="宋体"/>
          <w:b/>
          <w:color w:val="auto"/>
          <w:sz w:val="28"/>
          <w:szCs w:val="28"/>
          <w:highlight w:val="none"/>
          <w:u w:val="single" w:color="000000"/>
        </w:rPr>
        <w:t xml:space="preserve">    </w:t>
      </w:r>
      <w:r>
        <w:rPr>
          <w:rFonts w:ascii="宋体"/>
          <w:b/>
          <w:color w:val="auto"/>
          <w:sz w:val="28"/>
          <w:szCs w:val="28"/>
          <w:highlight w:val="none"/>
        </w:rPr>
        <w:t>日</w:t>
      </w:r>
    </w:p>
    <w:p w14:paraId="596298B3">
      <w:pPr>
        <w:snapToGrid w:val="0"/>
        <w:rPr>
          <w:rFonts w:ascii="宋体"/>
          <w:color w:val="auto"/>
          <w:sz w:val="36"/>
          <w:szCs w:val="36"/>
          <w:highlight w:val="none"/>
        </w:rPr>
      </w:pPr>
      <w:r>
        <w:rPr>
          <w:rFonts w:ascii="宋体"/>
          <w:color w:val="auto"/>
          <w:sz w:val="36"/>
          <w:szCs w:val="36"/>
          <w:highlight w:val="none"/>
        </w:rPr>
        <w:br w:type="page"/>
      </w:r>
    </w:p>
    <w:p w14:paraId="1B708303">
      <w:pPr>
        <w:snapToGrid w:val="0"/>
        <w:rPr>
          <w:rFonts w:ascii="宋体"/>
          <w:color w:val="auto"/>
          <w:sz w:val="36"/>
          <w:szCs w:val="36"/>
          <w:highlight w:val="none"/>
        </w:rPr>
      </w:pPr>
    </w:p>
    <w:p w14:paraId="7630A6CA">
      <w:pPr>
        <w:snapToGrid w:val="0"/>
        <w:spacing w:line="360" w:lineRule="auto"/>
        <w:jc w:val="center"/>
        <w:rPr>
          <w:rFonts w:ascii="宋体"/>
          <w:color w:val="auto"/>
          <w:highlight w:val="none"/>
        </w:rPr>
      </w:pPr>
      <w:r>
        <w:rPr>
          <w:rFonts w:ascii="宋体"/>
          <w:color w:val="auto"/>
          <w:sz w:val="36"/>
          <w:szCs w:val="36"/>
          <w:highlight w:val="none"/>
        </w:rPr>
        <w:t>目 录</w:t>
      </w:r>
    </w:p>
    <w:p w14:paraId="1734E41D">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（一）竞选函</w:t>
      </w:r>
    </w:p>
    <w:p w14:paraId="30EEA97D">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（二）法定代表人身份证明或附有法定代表人身份证明的授权委托书</w:t>
      </w:r>
    </w:p>
    <w:p w14:paraId="1B12E38E">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（三）低价风险担保提交承诺书（如有）</w:t>
      </w:r>
    </w:p>
    <w:p w14:paraId="2421AF1B">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（四）竞选人基本情况表</w:t>
      </w:r>
    </w:p>
    <w:p w14:paraId="25ED72A1">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五</w:t>
      </w:r>
      <w:r>
        <w:rPr>
          <w:rFonts w:ascii="宋体"/>
          <w:color w:val="auto"/>
          <w:sz w:val="22"/>
          <w:szCs w:val="22"/>
          <w:highlight w:val="none"/>
        </w:rPr>
        <w:t>）项目管理机构</w:t>
      </w:r>
    </w:p>
    <w:p w14:paraId="4473144F">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六</w:t>
      </w:r>
      <w:r>
        <w:rPr>
          <w:rFonts w:ascii="宋体"/>
          <w:color w:val="auto"/>
          <w:sz w:val="22"/>
          <w:szCs w:val="22"/>
          <w:highlight w:val="none"/>
        </w:rPr>
        <w:t>）财务要求</w:t>
      </w:r>
    </w:p>
    <w:p w14:paraId="7270C4CA">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七</w:t>
      </w:r>
      <w:r>
        <w:rPr>
          <w:rFonts w:ascii="宋体"/>
          <w:color w:val="auto"/>
          <w:sz w:val="22"/>
          <w:szCs w:val="22"/>
          <w:highlight w:val="none"/>
        </w:rPr>
        <w:t>）类似项目情况表</w:t>
      </w:r>
    </w:p>
    <w:p w14:paraId="6ED4E5D0">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八</w:t>
      </w:r>
      <w:r>
        <w:rPr>
          <w:rFonts w:ascii="宋体"/>
          <w:color w:val="auto"/>
          <w:sz w:val="22"/>
          <w:szCs w:val="22"/>
          <w:highlight w:val="none"/>
        </w:rPr>
        <w:t>）承诺</w:t>
      </w:r>
    </w:p>
    <w:p w14:paraId="098C98AC">
      <w:pPr>
        <w:snapToGrid w:val="0"/>
        <w:spacing w:line="600" w:lineRule="exact"/>
        <w:ind w:right="-23" w:firstLine="660" w:firstLineChars="300"/>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九</w:t>
      </w:r>
      <w:r>
        <w:rPr>
          <w:rFonts w:ascii="宋体"/>
          <w:color w:val="auto"/>
          <w:sz w:val="22"/>
          <w:szCs w:val="22"/>
          <w:highlight w:val="none"/>
        </w:rPr>
        <w:t>）其他资料</w:t>
      </w:r>
    </w:p>
    <w:p w14:paraId="50E343F1">
      <w:pPr>
        <w:snapToGrid w:val="0"/>
        <w:rPr>
          <w:rFonts w:ascii="宋体"/>
          <w:color w:val="auto"/>
          <w:highlight w:val="none"/>
        </w:rPr>
      </w:pPr>
    </w:p>
    <w:p w14:paraId="35CC2FA9">
      <w:pPr>
        <w:pStyle w:val="18"/>
        <w:snapToGrid w:val="0"/>
        <w:spacing w:line="400" w:lineRule="exact"/>
        <w:jc w:val="center"/>
        <w:rPr>
          <w:rFonts w:ascii="宋体"/>
          <w:bCs w:val="0"/>
          <w:color w:val="auto"/>
          <w:kern w:val="0"/>
          <w:highlight w:val="none"/>
        </w:rPr>
      </w:pPr>
      <w:r>
        <w:rPr>
          <w:rFonts w:ascii="宋体"/>
          <w:bCs w:val="0"/>
          <w:color w:val="auto"/>
          <w:kern w:val="0"/>
          <w:highlight w:val="none"/>
        </w:rPr>
        <w:br w:type="page"/>
      </w:r>
    </w:p>
    <w:p w14:paraId="737F7BF1">
      <w:pPr>
        <w:pStyle w:val="18"/>
        <w:snapToGrid w:val="0"/>
        <w:spacing w:line="400" w:lineRule="exact"/>
        <w:jc w:val="center"/>
        <w:rPr>
          <w:rFonts w:ascii="宋体"/>
          <w:color w:val="auto"/>
          <w:highlight w:val="none"/>
        </w:rPr>
      </w:pPr>
      <w:r>
        <w:rPr>
          <w:rFonts w:ascii="宋体"/>
          <w:bCs w:val="0"/>
          <w:color w:val="auto"/>
          <w:kern w:val="0"/>
          <w:highlight w:val="none"/>
        </w:rPr>
        <w:t>（一）竞选函</w:t>
      </w:r>
    </w:p>
    <w:p w14:paraId="01327E37">
      <w:pPr>
        <w:snapToGrid w:val="0"/>
        <w:spacing w:line="500" w:lineRule="exact"/>
        <w:ind w:left="119" w:right="-23"/>
        <w:rPr>
          <w:rFonts w:ascii="宋体"/>
          <w:color w:val="auto"/>
          <w:sz w:val="22"/>
          <w:szCs w:val="22"/>
          <w:highlight w:val="none"/>
        </w:rPr>
      </w:pPr>
      <w:r>
        <w:rPr>
          <w:rFonts w:ascii="宋体"/>
          <w:color w:val="auto"/>
          <w:sz w:val="22"/>
          <w:szCs w:val="22"/>
          <w:highlight w:val="none"/>
          <w:u w:val="single" w:color="000000"/>
        </w:rPr>
        <w:tab/>
      </w:r>
      <w:r>
        <w:rPr>
          <w:rFonts w:hint="eastAsia" w:ascii="宋体"/>
          <w:color w:val="auto"/>
          <w:sz w:val="22"/>
          <w:szCs w:val="22"/>
          <w:highlight w:val="none"/>
          <w:u w:val="single" w:color="000000"/>
        </w:rPr>
        <w:t xml:space="preserve">      </w:t>
      </w:r>
      <w:r>
        <w:rPr>
          <w:rFonts w:ascii="宋体"/>
          <w:color w:val="auto"/>
          <w:sz w:val="22"/>
          <w:szCs w:val="22"/>
          <w:highlight w:val="none"/>
        </w:rPr>
        <w:t>（比选人名称）：</w:t>
      </w:r>
    </w:p>
    <w:p w14:paraId="64A7013B">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1、我方已仔细研究了</w:t>
      </w:r>
      <w:r>
        <w:rPr>
          <w:rFonts w:ascii="宋体"/>
          <w:color w:val="auto"/>
          <w:sz w:val="22"/>
          <w:szCs w:val="22"/>
          <w:highlight w:val="none"/>
          <w:u w:val="single" w:color="000000"/>
        </w:rPr>
        <w:tab/>
      </w:r>
      <w:r>
        <w:rPr>
          <w:rFonts w:ascii="宋体"/>
          <w:color w:val="auto"/>
          <w:sz w:val="22"/>
          <w:szCs w:val="22"/>
          <w:highlight w:val="none"/>
          <w:u w:val="single" w:color="000000"/>
        </w:rPr>
        <w:tab/>
      </w:r>
      <w:r>
        <w:rPr>
          <w:rFonts w:ascii="宋体"/>
          <w:color w:val="auto"/>
          <w:sz w:val="22"/>
          <w:szCs w:val="22"/>
          <w:highlight w:val="none"/>
          <w:u w:val="single" w:color="000000"/>
        </w:rPr>
        <w:t xml:space="preserve">      </w:t>
      </w:r>
      <w:r>
        <w:rPr>
          <w:rFonts w:ascii="宋体"/>
          <w:color w:val="auto"/>
          <w:sz w:val="22"/>
          <w:szCs w:val="22"/>
          <w:highlight w:val="none"/>
        </w:rPr>
        <w:t>（项目名称）竞争性比选文件的全部内容，包括但不限于竞选人须知、合同条件、试验监测工作要求，以及全部补遗和澄清文件。我们已了解并完全理解了竞争性比选文件规定监测的合同范围，工作要求，并考虑到了潜在所有风险。据此，我方愿意</w:t>
      </w:r>
      <w:r>
        <w:rPr>
          <w:rFonts w:hint="eastAsia" w:ascii="宋体"/>
          <w:color w:val="auto"/>
          <w:sz w:val="22"/>
          <w:szCs w:val="22"/>
          <w:highlight w:val="none"/>
          <w:u w:val="single" w:color="000000"/>
          <w:lang w:val="en-US" w:eastAsia="zh-CN"/>
        </w:rPr>
        <w:t>以人民币</w:t>
      </w:r>
      <w:r>
        <w:rPr>
          <w:rFonts w:ascii="宋体"/>
          <w:color w:val="auto"/>
          <w:sz w:val="22"/>
          <w:szCs w:val="22"/>
          <w:highlight w:val="none"/>
        </w:rPr>
        <w:t>为（大写）</w:t>
      </w:r>
      <w:r>
        <w:rPr>
          <w:rFonts w:ascii="宋体"/>
          <w:color w:val="auto"/>
          <w:sz w:val="22"/>
          <w:szCs w:val="22"/>
          <w:highlight w:val="none"/>
          <w:u w:val="single" w:color="000000"/>
        </w:rPr>
        <w:tab/>
      </w:r>
      <w:r>
        <w:rPr>
          <w:rFonts w:ascii="宋体"/>
          <w:color w:val="auto"/>
          <w:sz w:val="22"/>
          <w:szCs w:val="22"/>
          <w:highlight w:val="none"/>
          <w:u w:val="single" w:color="000000"/>
        </w:rPr>
        <w:t xml:space="preserve">        </w:t>
      </w:r>
      <w:r>
        <w:rPr>
          <w:rFonts w:ascii="宋体"/>
          <w:color w:val="auto"/>
          <w:sz w:val="22"/>
          <w:szCs w:val="22"/>
          <w:highlight w:val="none"/>
        </w:rPr>
        <w:t>（¥</w:t>
      </w:r>
      <w:r>
        <w:rPr>
          <w:rFonts w:ascii="宋体"/>
          <w:color w:val="auto"/>
          <w:sz w:val="22"/>
          <w:szCs w:val="22"/>
          <w:highlight w:val="none"/>
          <w:u w:val="single" w:color="000000"/>
        </w:rPr>
        <w:t xml:space="preserve">          </w:t>
      </w:r>
      <w:r>
        <w:rPr>
          <w:rFonts w:ascii="宋体"/>
          <w:color w:val="auto"/>
          <w:sz w:val="22"/>
          <w:szCs w:val="22"/>
          <w:highlight w:val="none"/>
        </w:rPr>
        <w:t>）的竞选总报价</w:t>
      </w:r>
      <w:r>
        <w:rPr>
          <w:rFonts w:hint="eastAsia" w:ascii="宋体"/>
          <w:color w:val="auto"/>
          <w:sz w:val="22"/>
          <w:szCs w:val="22"/>
          <w:highlight w:val="none"/>
          <w:lang w:eastAsia="zh-CN"/>
        </w:rPr>
        <w:t>完成本项目</w:t>
      </w:r>
      <w:r>
        <w:rPr>
          <w:rFonts w:ascii="宋体"/>
          <w:color w:val="auto"/>
          <w:sz w:val="22"/>
          <w:szCs w:val="22"/>
          <w:highlight w:val="none"/>
        </w:rPr>
        <w:t>，本项目的项目负责人</w:t>
      </w:r>
      <w:r>
        <w:rPr>
          <w:rFonts w:ascii="宋体"/>
          <w:i/>
          <w:color w:val="auto"/>
          <w:sz w:val="22"/>
          <w:szCs w:val="22"/>
          <w:highlight w:val="none"/>
          <w:u w:val="single" w:color="000000"/>
        </w:rPr>
        <w:t xml:space="preserve">       </w:t>
      </w:r>
      <w:r>
        <w:rPr>
          <w:rFonts w:ascii="宋体"/>
          <w:color w:val="auto"/>
          <w:sz w:val="22"/>
          <w:szCs w:val="22"/>
          <w:highlight w:val="none"/>
        </w:rPr>
        <w:t>，服务期</w:t>
      </w:r>
      <w:r>
        <w:rPr>
          <w:rFonts w:ascii="宋体"/>
          <w:color w:val="auto"/>
          <w:sz w:val="22"/>
          <w:szCs w:val="22"/>
          <w:highlight w:val="none"/>
          <w:u w:val="single" w:color="000000"/>
        </w:rPr>
        <w:t>满足竞争性比选文件要求</w:t>
      </w:r>
      <w:r>
        <w:rPr>
          <w:rFonts w:ascii="宋体"/>
          <w:color w:val="auto"/>
          <w:sz w:val="22"/>
          <w:szCs w:val="22"/>
          <w:highlight w:val="none"/>
        </w:rPr>
        <w:t>，按合同约定实施和完成服务内容。服务质量达到</w:t>
      </w:r>
      <w:r>
        <w:rPr>
          <w:rFonts w:ascii="宋体"/>
          <w:color w:val="auto"/>
          <w:sz w:val="22"/>
          <w:szCs w:val="22"/>
          <w:highlight w:val="none"/>
          <w:u w:val="single" w:color="000000"/>
        </w:rPr>
        <w:t>竞争性比选文件的要求</w:t>
      </w:r>
      <w:r>
        <w:rPr>
          <w:rFonts w:ascii="宋体"/>
          <w:color w:val="auto"/>
          <w:sz w:val="22"/>
          <w:szCs w:val="22"/>
          <w:highlight w:val="none"/>
        </w:rPr>
        <w:t>。</w:t>
      </w:r>
    </w:p>
    <w:p w14:paraId="139158BB">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2、我方承诺在竞选有效期内不修改、撤销竞选文件。</w:t>
      </w:r>
    </w:p>
    <w:p w14:paraId="3ECDF5BC">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3、随同本竞选函提交竞选保证金一份，金额为人民币</w:t>
      </w:r>
      <w:r>
        <w:rPr>
          <w:rFonts w:ascii="宋体"/>
          <w:color w:val="auto"/>
          <w:sz w:val="22"/>
          <w:szCs w:val="22"/>
          <w:highlight w:val="none"/>
          <w:u w:val="single" w:color="000000"/>
        </w:rPr>
        <w:t xml:space="preserve">       </w:t>
      </w:r>
      <w:r>
        <w:rPr>
          <w:rFonts w:ascii="宋体"/>
          <w:color w:val="auto"/>
          <w:sz w:val="22"/>
          <w:szCs w:val="22"/>
          <w:highlight w:val="none"/>
        </w:rPr>
        <w:t xml:space="preserve">（大写）（¥ </w:t>
      </w:r>
      <w:r>
        <w:rPr>
          <w:rFonts w:ascii="宋体"/>
          <w:color w:val="auto"/>
          <w:sz w:val="22"/>
          <w:szCs w:val="22"/>
          <w:highlight w:val="none"/>
          <w:u w:val="single" w:color="000000"/>
        </w:rPr>
        <w:t xml:space="preserve">       </w:t>
      </w:r>
      <w:r>
        <w:rPr>
          <w:rFonts w:ascii="宋体"/>
          <w:color w:val="auto"/>
          <w:sz w:val="22"/>
          <w:szCs w:val="22"/>
          <w:highlight w:val="none"/>
        </w:rPr>
        <w:t>元）。</w:t>
      </w:r>
    </w:p>
    <w:p w14:paraId="573166A7">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 xml:space="preserve">4、如我方中选：   </w:t>
      </w:r>
    </w:p>
    <w:p w14:paraId="73A1ED23">
      <w:pPr>
        <w:snapToGrid w:val="0"/>
        <w:spacing w:line="560" w:lineRule="exact"/>
        <w:ind w:left="480" w:leftChars="200" w:right="-23"/>
        <w:rPr>
          <w:rFonts w:ascii="宋体"/>
          <w:color w:val="auto"/>
          <w:sz w:val="22"/>
          <w:szCs w:val="22"/>
          <w:highlight w:val="none"/>
        </w:rPr>
      </w:pPr>
      <w:r>
        <w:rPr>
          <w:rFonts w:ascii="宋体"/>
          <w:color w:val="auto"/>
          <w:sz w:val="22"/>
          <w:szCs w:val="22"/>
          <w:highlight w:val="none"/>
        </w:rPr>
        <w:t>（1）我方承诺在收到中选通知书后，在中选通知书规定的期限内与你方签订合同。</w:t>
      </w:r>
    </w:p>
    <w:p w14:paraId="772A2947">
      <w:pPr>
        <w:snapToGrid w:val="0"/>
        <w:spacing w:line="560" w:lineRule="exact"/>
        <w:ind w:left="480" w:leftChars="200" w:right="-23"/>
        <w:rPr>
          <w:rFonts w:ascii="宋体"/>
          <w:color w:val="auto"/>
          <w:sz w:val="22"/>
          <w:szCs w:val="22"/>
          <w:highlight w:val="none"/>
        </w:rPr>
      </w:pPr>
      <w:r>
        <w:rPr>
          <w:rFonts w:ascii="宋体"/>
          <w:color w:val="auto"/>
          <w:sz w:val="22"/>
          <w:szCs w:val="22"/>
          <w:highlight w:val="none"/>
        </w:rPr>
        <w:t>（2）我方承诺按照竞争性比选文件规定向你方递交履约担保。</w:t>
      </w:r>
    </w:p>
    <w:p w14:paraId="0426A6C6">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（3）我方承诺按照竞选人员组建项目监测部，并按竞争性比选文件要求完成监测工作。</w:t>
      </w:r>
    </w:p>
    <w:p w14:paraId="1E85DE0B">
      <w:pPr>
        <w:snapToGrid w:val="0"/>
        <w:spacing w:line="560" w:lineRule="exact"/>
        <w:ind w:right="-23" w:firstLine="440" w:firstLineChars="200"/>
        <w:rPr>
          <w:rFonts w:ascii="宋体"/>
          <w:color w:val="auto"/>
          <w:sz w:val="22"/>
          <w:szCs w:val="22"/>
          <w:highlight w:val="none"/>
        </w:rPr>
      </w:pPr>
      <w:r>
        <w:rPr>
          <w:rFonts w:ascii="宋体"/>
          <w:color w:val="auto"/>
          <w:sz w:val="22"/>
          <w:szCs w:val="22"/>
          <w:highlight w:val="none"/>
        </w:rPr>
        <w:t>5、我方在此声明，所递交的竞选文件及相关资料内容完整、真实和准确，且不存在第二章“竞选人须知”第20.3项规定的任何一种情形。</w:t>
      </w:r>
    </w:p>
    <w:p w14:paraId="24438D93">
      <w:pPr>
        <w:snapToGrid w:val="0"/>
        <w:spacing w:line="560" w:lineRule="exact"/>
        <w:ind w:right="-119" w:firstLine="440" w:firstLineChars="200"/>
        <w:rPr>
          <w:rFonts w:ascii="宋体"/>
          <w:color w:val="auto"/>
          <w:sz w:val="22"/>
          <w:szCs w:val="22"/>
          <w:highlight w:val="none"/>
        </w:rPr>
      </w:pPr>
      <w:r>
        <w:rPr>
          <w:rFonts w:ascii="宋体"/>
          <w:color w:val="auto"/>
          <w:sz w:val="22"/>
          <w:szCs w:val="22"/>
          <w:highlight w:val="none"/>
        </w:rPr>
        <w:t>6、</w:t>
      </w:r>
      <w:r>
        <w:rPr>
          <w:rFonts w:ascii="宋体"/>
          <w:color w:val="auto"/>
          <w:sz w:val="22"/>
          <w:szCs w:val="22"/>
          <w:highlight w:val="none"/>
          <w:u w:val="single" w:color="000000"/>
        </w:rPr>
        <w:t xml:space="preserve"> </w:t>
      </w:r>
      <w:r>
        <w:rPr>
          <w:rFonts w:ascii="宋体"/>
          <w:color w:val="auto"/>
          <w:sz w:val="22"/>
          <w:szCs w:val="22"/>
          <w:highlight w:val="none"/>
          <w:u w:val="single" w:color="000000"/>
        </w:rPr>
        <w:tab/>
      </w:r>
      <w:r>
        <w:rPr>
          <w:rFonts w:ascii="宋体"/>
          <w:color w:val="auto"/>
          <w:sz w:val="22"/>
          <w:szCs w:val="22"/>
          <w:highlight w:val="none"/>
          <w:u w:val="single" w:color="000000"/>
        </w:rPr>
        <w:t xml:space="preserve">    </w:t>
      </w:r>
      <w:r>
        <w:rPr>
          <w:rFonts w:ascii="宋体"/>
          <w:color w:val="auto"/>
          <w:sz w:val="22"/>
          <w:szCs w:val="22"/>
          <w:highlight w:val="none"/>
        </w:rPr>
        <w:t>（其他补充说明）。</w:t>
      </w:r>
    </w:p>
    <w:p w14:paraId="1A5CAD5F">
      <w:pPr>
        <w:snapToGrid w:val="0"/>
        <w:spacing w:line="500" w:lineRule="exact"/>
        <w:ind w:right="210" w:firstLine="2296" w:firstLineChars="1044"/>
        <w:rPr>
          <w:rFonts w:ascii="宋体"/>
          <w:color w:val="auto"/>
          <w:sz w:val="22"/>
          <w:szCs w:val="22"/>
          <w:highlight w:val="none"/>
        </w:rPr>
      </w:pPr>
      <w:r>
        <w:rPr>
          <w:rFonts w:ascii="宋体"/>
          <w:color w:val="auto"/>
          <w:sz w:val="22"/>
          <w:szCs w:val="22"/>
          <w:highlight w:val="none"/>
        </w:rPr>
        <w:t xml:space="preserve"> </w:t>
      </w:r>
    </w:p>
    <w:p w14:paraId="2197836D">
      <w:pPr>
        <w:snapToGrid w:val="0"/>
        <w:spacing w:line="500" w:lineRule="exact"/>
        <w:ind w:right="210" w:firstLine="2296" w:firstLineChars="1044"/>
        <w:rPr>
          <w:rFonts w:ascii="宋体"/>
          <w:color w:val="auto"/>
          <w:sz w:val="22"/>
          <w:szCs w:val="22"/>
          <w:highlight w:val="none"/>
        </w:rPr>
      </w:pPr>
      <w:r>
        <w:rPr>
          <w:rFonts w:ascii="宋体"/>
          <w:color w:val="auto"/>
          <w:sz w:val="22"/>
          <w:szCs w:val="22"/>
          <w:highlight w:val="none"/>
        </w:rPr>
        <w:t>竞选人：</w:t>
      </w:r>
      <w:r>
        <w:rPr>
          <w:rFonts w:ascii="宋体"/>
          <w:color w:val="auto"/>
          <w:sz w:val="22"/>
          <w:szCs w:val="22"/>
          <w:highlight w:val="none"/>
          <w:u w:val="single" w:color="000000"/>
        </w:rPr>
        <w:t xml:space="preserve">                             </w:t>
      </w:r>
      <w:r>
        <w:rPr>
          <w:rFonts w:ascii="宋体"/>
          <w:color w:val="auto"/>
          <w:sz w:val="22"/>
          <w:szCs w:val="22"/>
          <w:highlight w:val="none"/>
        </w:rPr>
        <w:t xml:space="preserve">（盖单位公章） </w:t>
      </w:r>
    </w:p>
    <w:p w14:paraId="7406C17E">
      <w:pPr>
        <w:snapToGrid w:val="0"/>
        <w:spacing w:line="500" w:lineRule="exact"/>
        <w:ind w:right="210" w:firstLine="2296" w:firstLineChars="1044"/>
        <w:rPr>
          <w:rFonts w:ascii="宋体"/>
          <w:color w:val="auto"/>
          <w:sz w:val="22"/>
          <w:szCs w:val="22"/>
          <w:highlight w:val="none"/>
        </w:rPr>
      </w:pPr>
      <w:r>
        <w:rPr>
          <w:rFonts w:ascii="宋体"/>
          <w:color w:val="auto"/>
          <w:sz w:val="22"/>
          <w:szCs w:val="22"/>
          <w:highlight w:val="none"/>
        </w:rPr>
        <w:t>法定代表人或委托代理人：</w:t>
      </w:r>
      <w:r>
        <w:rPr>
          <w:rFonts w:ascii="宋体"/>
          <w:color w:val="auto"/>
          <w:sz w:val="22"/>
          <w:szCs w:val="22"/>
          <w:highlight w:val="none"/>
          <w:u w:val="single" w:color="000000"/>
        </w:rPr>
        <w:t xml:space="preserve">                  </w:t>
      </w:r>
      <w:r>
        <w:rPr>
          <w:rFonts w:ascii="宋体"/>
          <w:color w:val="auto"/>
          <w:sz w:val="22"/>
          <w:szCs w:val="22"/>
          <w:highlight w:val="none"/>
        </w:rPr>
        <w:t>（签字</w:t>
      </w:r>
      <w:r>
        <w:rPr>
          <w:rFonts w:hint="eastAsia" w:ascii="宋体"/>
          <w:color w:val="auto"/>
          <w:sz w:val="22"/>
          <w:szCs w:val="22"/>
          <w:highlight w:val="none"/>
        </w:rPr>
        <w:t>或</w:t>
      </w:r>
      <w:r>
        <w:rPr>
          <w:rFonts w:ascii="宋体"/>
          <w:color w:val="auto"/>
          <w:sz w:val="22"/>
          <w:szCs w:val="22"/>
          <w:highlight w:val="none"/>
        </w:rPr>
        <w:t xml:space="preserve">盖章） </w:t>
      </w:r>
    </w:p>
    <w:p w14:paraId="52C4E0E3">
      <w:pPr>
        <w:snapToGrid w:val="0"/>
        <w:spacing w:line="500" w:lineRule="exact"/>
        <w:ind w:right="210" w:firstLine="2296" w:firstLineChars="1044"/>
        <w:rPr>
          <w:rFonts w:ascii="宋体"/>
          <w:color w:val="auto"/>
          <w:sz w:val="22"/>
          <w:szCs w:val="22"/>
          <w:highlight w:val="none"/>
          <w:u w:val="single" w:color="000000"/>
        </w:rPr>
      </w:pPr>
      <w:r>
        <w:rPr>
          <w:rFonts w:ascii="宋体"/>
          <w:color w:val="auto"/>
          <w:sz w:val="22"/>
          <w:szCs w:val="22"/>
          <w:highlight w:val="none"/>
        </w:rPr>
        <w:t>地址：</w:t>
      </w:r>
      <w:r>
        <w:rPr>
          <w:rFonts w:ascii="宋体"/>
          <w:color w:val="auto"/>
          <w:sz w:val="22"/>
          <w:szCs w:val="22"/>
          <w:highlight w:val="none"/>
          <w:u w:color="000000"/>
        </w:rPr>
        <w:t xml:space="preserve">                                    </w:t>
      </w:r>
    </w:p>
    <w:p w14:paraId="736D8689">
      <w:pPr>
        <w:snapToGrid w:val="0"/>
        <w:spacing w:line="500" w:lineRule="exact"/>
        <w:ind w:right="210" w:firstLine="2296" w:firstLineChars="1044"/>
        <w:rPr>
          <w:rFonts w:ascii="宋体"/>
          <w:color w:val="auto"/>
          <w:sz w:val="22"/>
          <w:szCs w:val="22"/>
          <w:highlight w:val="none"/>
          <w:u w:val="single" w:color="000000"/>
        </w:rPr>
      </w:pPr>
      <w:r>
        <w:rPr>
          <w:rFonts w:ascii="宋体"/>
          <w:color w:val="auto"/>
          <w:sz w:val="22"/>
          <w:szCs w:val="22"/>
          <w:highlight w:val="none"/>
        </w:rPr>
        <w:t>电话：</w:t>
      </w:r>
      <w:r>
        <w:rPr>
          <w:rFonts w:ascii="宋体"/>
          <w:color w:val="auto"/>
          <w:sz w:val="22"/>
          <w:szCs w:val="22"/>
          <w:highlight w:val="none"/>
          <w:u w:val="single" w:color="000000"/>
        </w:rPr>
        <w:t xml:space="preserve">                                    </w:t>
      </w:r>
    </w:p>
    <w:p w14:paraId="33DF4A2B">
      <w:pPr>
        <w:snapToGrid w:val="0"/>
        <w:spacing w:line="500" w:lineRule="exact"/>
        <w:ind w:right="210" w:firstLine="2296" w:firstLineChars="1044"/>
        <w:rPr>
          <w:rFonts w:ascii="宋体"/>
          <w:color w:val="auto"/>
          <w:sz w:val="22"/>
          <w:szCs w:val="22"/>
          <w:highlight w:val="none"/>
        </w:rPr>
      </w:pPr>
      <w:r>
        <w:rPr>
          <w:rFonts w:ascii="宋体"/>
          <w:color w:val="auto"/>
          <w:sz w:val="22"/>
          <w:szCs w:val="22"/>
          <w:highlight w:val="none"/>
        </w:rPr>
        <w:t>传真：</w:t>
      </w:r>
      <w:r>
        <w:rPr>
          <w:rFonts w:ascii="宋体"/>
          <w:color w:val="auto"/>
          <w:sz w:val="22"/>
          <w:szCs w:val="22"/>
          <w:highlight w:val="none"/>
          <w:u w:val="single" w:color="000000"/>
        </w:rPr>
        <w:t xml:space="preserve">                                    </w:t>
      </w:r>
    </w:p>
    <w:p w14:paraId="4ED1ABC9">
      <w:pPr>
        <w:snapToGrid w:val="0"/>
        <w:spacing w:line="440" w:lineRule="exact"/>
        <w:ind w:right="-20" w:firstLine="5159" w:firstLineChars="2345"/>
        <w:rPr>
          <w:rFonts w:ascii="宋体"/>
          <w:color w:val="auto"/>
          <w:sz w:val="22"/>
          <w:szCs w:val="22"/>
          <w:highlight w:val="none"/>
        </w:rPr>
      </w:pPr>
      <w:r>
        <w:rPr>
          <w:rFonts w:ascii="宋体"/>
          <w:color w:val="auto"/>
          <w:sz w:val="22"/>
          <w:szCs w:val="22"/>
          <w:highlight w:val="none"/>
          <w:u w:val="single" w:color="000000"/>
        </w:rPr>
        <w:t xml:space="preserve">        </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p>
    <w:p w14:paraId="1A7B8317">
      <w:pPr>
        <w:snapToGrid w:val="0"/>
        <w:rPr>
          <w:rFonts w:ascii="宋体" w:cs="Times New Roman"/>
          <w:b/>
          <w:bCs/>
          <w:color w:val="auto"/>
          <w:kern w:val="2"/>
          <w:sz w:val="32"/>
          <w:szCs w:val="32"/>
          <w:highlight w:val="none"/>
        </w:rPr>
        <w:sectPr>
          <w:pgSz w:w="11906" w:h="16838"/>
          <w:pgMar w:top="1304" w:right="1417" w:bottom="1304" w:left="1417" w:header="851" w:footer="992" w:gutter="0"/>
          <w:cols w:space="720" w:num="1"/>
          <w:docGrid w:type="lines" w:linePitch="336" w:charSpace="0"/>
        </w:sectPr>
      </w:pPr>
    </w:p>
    <w:p w14:paraId="3E158022">
      <w:pPr>
        <w:snapToGrid w:val="0"/>
        <w:jc w:val="center"/>
        <w:rPr>
          <w:rFonts w:ascii="宋体"/>
          <w:b/>
          <w:color w:val="auto"/>
          <w:sz w:val="32"/>
          <w:szCs w:val="32"/>
          <w:highlight w:val="none"/>
        </w:rPr>
      </w:pPr>
      <w:r>
        <w:rPr>
          <w:rFonts w:ascii="宋体"/>
          <w:b/>
          <w:color w:val="auto"/>
          <w:sz w:val="32"/>
          <w:szCs w:val="32"/>
          <w:highlight w:val="none"/>
        </w:rPr>
        <w:t>（二）法定代表人身份证明及授权委托书</w:t>
      </w:r>
    </w:p>
    <w:p w14:paraId="2D3700F3">
      <w:pPr>
        <w:snapToGrid w:val="0"/>
        <w:jc w:val="center"/>
        <w:rPr>
          <w:rFonts w:ascii="宋体"/>
          <w:b/>
          <w:color w:val="auto"/>
          <w:highlight w:val="none"/>
        </w:rPr>
      </w:pPr>
      <w:r>
        <w:rPr>
          <w:rFonts w:ascii="宋体"/>
          <w:b/>
          <w:color w:val="auto"/>
          <w:sz w:val="28"/>
          <w:szCs w:val="28"/>
          <w:highlight w:val="none"/>
        </w:rPr>
        <w:t>法定代表人身份证明</w:t>
      </w:r>
    </w:p>
    <w:p w14:paraId="7A34FD23">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竞选人名称：</w:t>
      </w:r>
      <w:r>
        <w:rPr>
          <w:rFonts w:ascii="宋体"/>
          <w:color w:val="auto"/>
          <w:sz w:val="22"/>
          <w:szCs w:val="22"/>
          <w:highlight w:val="none"/>
          <w:u w:val="single" w:color="000000"/>
        </w:rPr>
        <w:t xml:space="preserve">                                    </w:t>
      </w:r>
    </w:p>
    <w:p w14:paraId="4BBC71E6">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单位性质：</w:t>
      </w:r>
      <w:r>
        <w:rPr>
          <w:rFonts w:ascii="宋体"/>
          <w:color w:val="auto"/>
          <w:sz w:val="22"/>
          <w:szCs w:val="22"/>
          <w:highlight w:val="none"/>
          <w:u w:val="single" w:color="000000"/>
        </w:rPr>
        <w:t xml:space="preserve">                                      </w:t>
      </w:r>
    </w:p>
    <w:p w14:paraId="69A85D33">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地址：</w:t>
      </w:r>
      <w:r>
        <w:rPr>
          <w:rFonts w:ascii="宋体"/>
          <w:color w:val="auto"/>
          <w:sz w:val="22"/>
          <w:szCs w:val="22"/>
          <w:highlight w:val="none"/>
          <w:u w:val="single" w:color="000000"/>
        </w:rPr>
        <w:t xml:space="preserve">                                          </w:t>
      </w:r>
    </w:p>
    <w:p w14:paraId="7B140736">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成立时间：</w:t>
      </w:r>
      <w:r>
        <w:rPr>
          <w:rFonts w:ascii="宋体"/>
          <w:color w:val="auto"/>
          <w:sz w:val="22"/>
          <w:szCs w:val="22"/>
          <w:highlight w:val="none"/>
          <w:u w:val="single" w:color="000000"/>
        </w:rPr>
        <w:t xml:space="preserve">        </w:t>
      </w:r>
      <w:r>
        <w:rPr>
          <w:rFonts w:ascii="宋体"/>
          <w:color w:val="auto"/>
          <w:spacing w:val="-1"/>
          <w:sz w:val="22"/>
          <w:szCs w:val="22"/>
          <w:highlight w:val="none"/>
        </w:rPr>
        <w:t>年</w:t>
      </w:r>
      <w:r>
        <w:rPr>
          <w:rFonts w:ascii="宋体"/>
          <w:color w:val="auto"/>
          <w:sz w:val="22"/>
          <w:szCs w:val="22"/>
          <w:highlight w:val="none"/>
          <w:u w:val="single" w:color="000000"/>
        </w:rPr>
        <w:t xml:space="preserve">        </w:t>
      </w:r>
      <w:r>
        <w:rPr>
          <w:rFonts w:ascii="宋体"/>
          <w:color w:val="auto"/>
          <w:spacing w:val="-1"/>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p>
    <w:p w14:paraId="3E129F3C">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经营期限：</w:t>
      </w:r>
      <w:r>
        <w:rPr>
          <w:rFonts w:ascii="宋体"/>
          <w:color w:val="auto"/>
          <w:sz w:val="22"/>
          <w:szCs w:val="22"/>
          <w:highlight w:val="none"/>
          <w:u w:val="single" w:color="000000"/>
        </w:rPr>
        <w:t xml:space="preserve">                                      </w:t>
      </w:r>
    </w:p>
    <w:p w14:paraId="54108006">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姓名：</w:t>
      </w:r>
      <w:r>
        <w:rPr>
          <w:rFonts w:ascii="宋体"/>
          <w:color w:val="auto"/>
          <w:sz w:val="22"/>
          <w:szCs w:val="22"/>
          <w:highlight w:val="none"/>
          <w:u w:val="single" w:color="000000"/>
        </w:rPr>
        <w:t xml:space="preserve">        </w:t>
      </w:r>
      <w:r>
        <w:rPr>
          <w:rFonts w:ascii="宋体"/>
          <w:color w:val="auto"/>
          <w:sz w:val="22"/>
          <w:szCs w:val="22"/>
          <w:highlight w:val="none"/>
        </w:rPr>
        <w:t xml:space="preserve"> 性别</w:t>
      </w:r>
      <w:r>
        <w:rPr>
          <w:rFonts w:ascii="宋体"/>
          <w:color w:val="auto"/>
          <w:spacing w:val="-1"/>
          <w:sz w:val="22"/>
          <w:szCs w:val="22"/>
          <w:highlight w:val="none"/>
        </w:rPr>
        <w:t>：</w:t>
      </w:r>
      <w:r>
        <w:rPr>
          <w:rFonts w:ascii="宋体"/>
          <w:color w:val="auto"/>
          <w:sz w:val="22"/>
          <w:szCs w:val="22"/>
          <w:highlight w:val="none"/>
          <w:u w:val="single" w:color="000000"/>
        </w:rPr>
        <w:t xml:space="preserve">        </w:t>
      </w:r>
      <w:r>
        <w:rPr>
          <w:rFonts w:ascii="宋体"/>
          <w:color w:val="auto"/>
          <w:sz w:val="22"/>
          <w:szCs w:val="22"/>
          <w:highlight w:val="none"/>
        </w:rPr>
        <w:t xml:space="preserve"> </w:t>
      </w:r>
      <w:r>
        <w:rPr>
          <w:rFonts w:ascii="宋体"/>
          <w:color w:val="auto"/>
          <w:spacing w:val="-1"/>
          <w:sz w:val="22"/>
          <w:szCs w:val="22"/>
          <w:highlight w:val="none"/>
        </w:rPr>
        <w:t>年</w:t>
      </w:r>
      <w:r>
        <w:rPr>
          <w:rFonts w:ascii="宋体"/>
          <w:color w:val="auto"/>
          <w:sz w:val="22"/>
          <w:szCs w:val="22"/>
          <w:highlight w:val="none"/>
        </w:rPr>
        <w:t>龄：</w:t>
      </w:r>
      <w:r>
        <w:rPr>
          <w:rFonts w:ascii="宋体"/>
          <w:color w:val="auto"/>
          <w:sz w:val="22"/>
          <w:szCs w:val="22"/>
          <w:highlight w:val="none"/>
          <w:u w:val="single" w:color="000000"/>
        </w:rPr>
        <w:t xml:space="preserve">        </w:t>
      </w:r>
      <w:r>
        <w:rPr>
          <w:rFonts w:ascii="宋体"/>
          <w:color w:val="auto"/>
          <w:sz w:val="22"/>
          <w:szCs w:val="22"/>
          <w:highlight w:val="none"/>
        </w:rPr>
        <w:t xml:space="preserve"> 职务：</w:t>
      </w:r>
      <w:r>
        <w:rPr>
          <w:rFonts w:ascii="宋体"/>
          <w:color w:val="auto"/>
          <w:sz w:val="22"/>
          <w:szCs w:val="22"/>
          <w:highlight w:val="none"/>
          <w:u w:val="single" w:color="000000"/>
        </w:rPr>
        <w:t xml:space="preserve">        </w:t>
      </w:r>
    </w:p>
    <w:p w14:paraId="2A234FF6">
      <w:pPr>
        <w:snapToGrid w:val="0"/>
        <w:spacing w:line="700" w:lineRule="exact"/>
        <w:ind w:firstLine="409" w:firstLineChars="186"/>
        <w:rPr>
          <w:rFonts w:ascii="宋体"/>
          <w:color w:val="auto"/>
          <w:sz w:val="22"/>
          <w:szCs w:val="22"/>
          <w:highlight w:val="none"/>
        </w:rPr>
      </w:pPr>
      <w:r>
        <w:rPr>
          <w:rFonts w:ascii="宋体"/>
          <w:color w:val="auto"/>
          <w:sz w:val="22"/>
          <w:szCs w:val="22"/>
          <w:highlight w:val="none"/>
        </w:rPr>
        <w:t>系</w:t>
      </w:r>
      <w:r>
        <w:rPr>
          <w:rFonts w:ascii="宋体"/>
          <w:color w:val="auto"/>
          <w:sz w:val="22"/>
          <w:szCs w:val="22"/>
          <w:highlight w:val="none"/>
          <w:u w:val="single" w:color="000000"/>
        </w:rPr>
        <w:t xml:space="preserve">                                 </w:t>
      </w:r>
      <w:r>
        <w:rPr>
          <w:rFonts w:ascii="宋体"/>
          <w:color w:val="auto"/>
          <w:sz w:val="22"/>
          <w:szCs w:val="22"/>
          <w:highlight w:val="none"/>
        </w:rPr>
        <w:t>（竞选人名称）的法定代表人。</w:t>
      </w:r>
    </w:p>
    <w:p w14:paraId="2498DD5E">
      <w:pPr>
        <w:snapToGrid w:val="0"/>
        <w:spacing w:line="360" w:lineRule="auto"/>
        <w:ind w:firstLine="409" w:firstLineChars="186"/>
        <w:rPr>
          <w:rFonts w:ascii="宋体"/>
          <w:color w:val="auto"/>
          <w:sz w:val="22"/>
          <w:szCs w:val="22"/>
          <w:highlight w:val="none"/>
        </w:rPr>
      </w:pPr>
      <w:r>
        <w:rPr>
          <w:rFonts w:ascii="宋体"/>
          <w:color w:val="auto"/>
          <w:sz w:val="22"/>
          <w:szCs w:val="22"/>
          <w:highlight w:val="none"/>
        </w:rPr>
        <w:t xml:space="preserve"> </w:t>
      </w:r>
    </w:p>
    <w:p w14:paraId="12167FDB">
      <w:pPr>
        <w:snapToGrid w:val="0"/>
        <w:spacing w:line="360" w:lineRule="auto"/>
        <w:ind w:firstLine="849" w:firstLineChars="386"/>
        <w:rPr>
          <w:rFonts w:ascii="宋体"/>
          <w:color w:val="auto"/>
          <w:sz w:val="22"/>
          <w:szCs w:val="22"/>
          <w:highlight w:val="none"/>
        </w:rPr>
      </w:pPr>
      <w:r>
        <w:rPr>
          <w:rFonts w:ascii="宋体"/>
          <w:color w:val="auto"/>
          <w:sz w:val="22"/>
          <w:szCs w:val="22"/>
          <w:highlight w:val="none"/>
        </w:rPr>
        <w:t>特此证明。</w:t>
      </w:r>
    </w:p>
    <w:p w14:paraId="408DAA85">
      <w:pPr>
        <w:snapToGrid w:val="0"/>
        <w:spacing w:line="360" w:lineRule="auto"/>
        <w:ind w:firstLine="926" w:firstLineChars="386"/>
        <w:rPr>
          <w:rFonts w:ascii="宋体"/>
          <w:color w:val="auto"/>
          <w:highlight w:val="none"/>
        </w:rPr>
      </w:pPr>
      <w:r>
        <w:rPr>
          <w:rFonts w:ascii="宋体"/>
          <w:color w:val="auto"/>
          <w:highlight w:val="none"/>
        </w:rPr>
        <w:t xml:space="preserve"> </w:t>
      </w:r>
    </w:p>
    <w:tbl>
      <w:tblPr>
        <w:tblStyle w:val="14"/>
        <w:tblW w:w="8850"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0"/>
      </w:tblGrid>
      <w:tr w14:paraId="07EE4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trPr>
        <w:tc>
          <w:tcPr>
            <w:tcW w:w="8850" w:type="dxa"/>
            <w:tcBorders>
              <w:top w:val="single" w:color="000000" w:sz="4" w:space="0"/>
              <w:left w:val="single" w:color="000000" w:sz="4" w:space="0"/>
              <w:bottom w:val="single" w:color="000000" w:sz="4" w:space="0"/>
              <w:right w:val="single" w:color="000000" w:sz="4" w:space="0"/>
            </w:tcBorders>
            <w:noWrap/>
          </w:tcPr>
          <w:p w14:paraId="0F779418">
            <w:pPr>
              <w:snapToGrid w:val="0"/>
              <w:spacing w:line="360" w:lineRule="auto"/>
              <w:ind w:firstLine="420"/>
              <w:jc w:val="both"/>
              <w:rPr>
                <w:rFonts w:ascii="宋体"/>
                <w:color w:val="auto"/>
                <w:sz w:val="22"/>
                <w:szCs w:val="22"/>
                <w:highlight w:val="none"/>
              </w:rPr>
            </w:pPr>
            <w:r>
              <w:rPr>
                <w:rFonts w:ascii="宋体"/>
                <w:color w:val="auto"/>
                <w:sz w:val="22"/>
                <w:szCs w:val="22"/>
                <w:highlight w:val="none"/>
              </w:rPr>
              <w:t>附：法定代表人身份证（双面）复印件</w:t>
            </w:r>
          </w:p>
          <w:p w14:paraId="426BA79A">
            <w:pPr>
              <w:snapToGrid w:val="0"/>
              <w:spacing w:line="360" w:lineRule="auto"/>
              <w:ind w:left="32"/>
              <w:jc w:val="center"/>
              <w:rPr>
                <w:rFonts w:ascii="宋体" w:cs="Times New Roman"/>
                <w:bCs/>
                <w:color w:val="auto"/>
                <w:sz w:val="22"/>
                <w:szCs w:val="22"/>
                <w:highlight w:val="none"/>
              </w:rPr>
            </w:pPr>
          </w:p>
        </w:tc>
      </w:tr>
    </w:tbl>
    <w:p w14:paraId="10628758">
      <w:pPr>
        <w:snapToGrid w:val="0"/>
        <w:spacing w:line="360" w:lineRule="auto"/>
        <w:rPr>
          <w:rFonts w:ascii="宋体"/>
          <w:color w:val="auto"/>
          <w:sz w:val="22"/>
          <w:szCs w:val="22"/>
          <w:highlight w:val="none"/>
          <w:u w:val="single" w:color="000000"/>
        </w:rPr>
      </w:pPr>
      <w:r>
        <w:rPr>
          <w:rFonts w:ascii="宋体"/>
          <w:color w:val="auto"/>
          <w:sz w:val="22"/>
          <w:szCs w:val="22"/>
          <w:highlight w:val="none"/>
        </w:rPr>
        <w:t xml:space="preserve"> </w:t>
      </w:r>
    </w:p>
    <w:p w14:paraId="40BF483B">
      <w:pPr>
        <w:snapToGrid w:val="0"/>
        <w:spacing w:line="360" w:lineRule="auto"/>
        <w:jc w:val="right"/>
        <w:rPr>
          <w:rFonts w:ascii="宋体"/>
          <w:color w:val="auto"/>
          <w:sz w:val="22"/>
          <w:szCs w:val="22"/>
          <w:highlight w:val="none"/>
        </w:rPr>
      </w:pPr>
      <w:r>
        <w:rPr>
          <w:rFonts w:ascii="宋体"/>
          <w:color w:val="auto"/>
          <w:sz w:val="22"/>
          <w:szCs w:val="22"/>
          <w:highlight w:val="none"/>
        </w:rPr>
        <w:t>竞选人：</w:t>
      </w:r>
      <w:r>
        <w:rPr>
          <w:rFonts w:ascii="宋体"/>
          <w:color w:val="auto"/>
          <w:sz w:val="22"/>
          <w:szCs w:val="22"/>
          <w:highlight w:val="none"/>
          <w:u w:val="single" w:color="000000"/>
        </w:rPr>
        <w:t xml:space="preserve">                              </w:t>
      </w:r>
      <w:r>
        <w:rPr>
          <w:rFonts w:ascii="宋体"/>
          <w:color w:val="auto"/>
          <w:spacing w:val="-1"/>
          <w:sz w:val="22"/>
          <w:szCs w:val="22"/>
          <w:highlight w:val="none"/>
        </w:rPr>
        <w:t>（</w:t>
      </w:r>
      <w:r>
        <w:rPr>
          <w:rFonts w:ascii="宋体"/>
          <w:color w:val="auto"/>
          <w:sz w:val="22"/>
          <w:szCs w:val="22"/>
          <w:highlight w:val="none"/>
        </w:rPr>
        <w:t>盖单位公章）</w:t>
      </w:r>
    </w:p>
    <w:p w14:paraId="38513A20">
      <w:pPr>
        <w:snapToGrid w:val="0"/>
        <w:spacing w:line="360" w:lineRule="auto"/>
        <w:ind w:firstLine="4400" w:firstLineChars="2000"/>
        <w:rPr>
          <w:rFonts w:ascii="宋体"/>
          <w:color w:val="auto"/>
          <w:highlight w:val="none"/>
        </w:rPr>
      </w:pPr>
      <w:r>
        <w:rPr>
          <w:rFonts w:ascii="宋体"/>
          <w:color w:val="auto"/>
          <w:sz w:val="22"/>
          <w:szCs w:val="22"/>
          <w:highlight w:val="none"/>
          <w:u w:val="single" w:color="000000"/>
        </w:rPr>
        <w:t xml:space="preserve">      </w:t>
      </w:r>
      <w:r>
        <w:rPr>
          <w:rFonts w:ascii="宋体"/>
          <w:color w:val="auto"/>
          <w:spacing w:val="-1"/>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日</w:t>
      </w:r>
    </w:p>
    <w:p w14:paraId="1653722B">
      <w:pPr>
        <w:snapToGrid w:val="0"/>
        <w:spacing w:line="360" w:lineRule="auto"/>
        <w:rPr>
          <w:rFonts w:ascii="宋体"/>
          <w:color w:val="auto"/>
          <w:highlight w:val="none"/>
        </w:rPr>
      </w:pPr>
      <w:r>
        <w:rPr>
          <w:rFonts w:ascii="宋体"/>
          <w:color w:val="auto"/>
          <w:highlight w:val="none"/>
        </w:rPr>
        <w:t xml:space="preserve"> </w:t>
      </w:r>
    </w:p>
    <w:p w14:paraId="3476DC3C">
      <w:pPr>
        <w:snapToGrid w:val="0"/>
        <w:spacing w:line="360" w:lineRule="auto"/>
        <w:ind w:firstLine="440" w:firstLineChars="200"/>
        <w:rPr>
          <w:rFonts w:ascii="宋体"/>
          <w:color w:val="auto"/>
          <w:sz w:val="22"/>
          <w:szCs w:val="22"/>
          <w:highlight w:val="none"/>
        </w:rPr>
      </w:pPr>
      <w:r>
        <w:rPr>
          <w:rFonts w:ascii="宋体"/>
          <w:color w:val="auto"/>
          <w:sz w:val="22"/>
          <w:szCs w:val="22"/>
          <w:highlight w:val="none"/>
        </w:rPr>
        <w:t xml:space="preserve"> </w:t>
      </w:r>
    </w:p>
    <w:p w14:paraId="15CDF5DB">
      <w:pPr>
        <w:snapToGrid w:val="0"/>
        <w:spacing w:line="360" w:lineRule="auto"/>
        <w:ind w:firstLine="440" w:firstLineChars="200"/>
        <w:rPr>
          <w:rFonts w:ascii="宋体"/>
          <w:color w:val="auto"/>
          <w:sz w:val="22"/>
          <w:szCs w:val="22"/>
          <w:highlight w:val="none"/>
        </w:rPr>
      </w:pPr>
      <w:r>
        <w:rPr>
          <w:rFonts w:ascii="宋体"/>
          <w:color w:val="auto"/>
          <w:sz w:val="22"/>
          <w:szCs w:val="22"/>
          <w:highlight w:val="none"/>
        </w:rPr>
        <w:t>注：法定代表人身份证明需按上述格式填写完整，不可缺少内容。在此基础上增加内容的不影响其有效性。</w:t>
      </w:r>
    </w:p>
    <w:p w14:paraId="6C015614">
      <w:pPr>
        <w:snapToGrid w:val="0"/>
        <w:spacing w:line="360" w:lineRule="auto"/>
        <w:jc w:val="center"/>
        <w:rPr>
          <w:rFonts w:ascii="宋体"/>
          <w:b/>
          <w:color w:val="auto"/>
          <w:sz w:val="28"/>
          <w:szCs w:val="28"/>
          <w:highlight w:val="none"/>
        </w:rPr>
      </w:pPr>
      <w:r>
        <w:rPr>
          <w:rFonts w:ascii="宋体"/>
          <w:b/>
          <w:color w:val="auto"/>
          <w:sz w:val="28"/>
          <w:szCs w:val="28"/>
          <w:highlight w:val="none"/>
        </w:rPr>
        <w:t xml:space="preserve"> </w:t>
      </w:r>
    </w:p>
    <w:p w14:paraId="3DE8248A">
      <w:pPr>
        <w:rPr>
          <w:rFonts w:ascii="宋体"/>
          <w:b/>
          <w:color w:val="auto"/>
          <w:sz w:val="28"/>
          <w:szCs w:val="28"/>
          <w:highlight w:val="none"/>
        </w:rPr>
      </w:pPr>
      <w:r>
        <w:rPr>
          <w:rFonts w:ascii="宋体"/>
          <w:b/>
          <w:color w:val="auto"/>
          <w:sz w:val="28"/>
          <w:szCs w:val="28"/>
          <w:highlight w:val="none"/>
        </w:rPr>
        <w:br w:type="page"/>
      </w:r>
    </w:p>
    <w:p w14:paraId="4F1A8266">
      <w:pPr>
        <w:snapToGrid w:val="0"/>
        <w:spacing w:line="360" w:lineRule="auto"/>
        <w:jc w:val="center"/>
        <w:rPr>
          <w:rFonts w:ascii="宋体"/>
          <w:color w:val="auto"/>
          <w:sz w:val="20"/>
          <w:szCs w:val="20"/>
          <w:highlight w:val="none"/>
        </w:rPr>
      </w:pPr>
      <w:r>
        <w:rPr>
          <w:rFonts w:ascii="宋体"/>
          <w:b/>
          <w:color w:val="auto"/>
          <w:sz w:val="28"/>
          <w:szCs w:val="28"/>
          <w:highlight w:val="none"/>
        </w:rPr>
        <w:t>授权委托书</w:t>
      </w:r>
    </w:p>
    <w:p w14:paraId="7F7A4B29">
      <w:pPr>
        <w:snapToGrid w:val="0"/>
        <w:spacing w:line="440" w:lineRule="exact"/>
        <w:ind w:firstLine="420"/>
        <w:rPr>
          <w:rFonts w:ascii="宋体"/>
          <w:color w:val="auto"/>
          <w:sz w:val="22"/>
          <w:szCs w:val="22"/>
          <w:highlight w:val="none"/>
        </w:rPr>
      </w:pPr>
      <w:r>
        <w:rPr>
          <w:rFonts w:ascii="宋体"/>
          <w:color w:val="auto"/>
          <w:sz w:val="22"/>
          <w:szCs w:val="22"/>
          <w:highlight w:val="none"/>
        </w:rPr>
        <w:t>本人</w:t>
      </w:r>
      <w:r>
        <w:rPr>
          <w:rFonts w:ascii="宋体"/>
          <w:color w:val="auto"/>
          <w:sz w:val="22"/>
          <w:szCs w:val="22"/>
          <w:highlight w:val="none"/>
          <w:u w:val="single" w:color="000000"/>
        </w:rPr>
        <w:t xml:space="preserve">        </w:t>
      </w:r>
      <w:r>
        <w:rPr>
          <w:rFonts w:ascii="宋体"/>
          <w:color w:val="auto"/>
          <w:sz w:val="22"/>
          <w:szCs w:val="22"/>
          <w:highlight w:val="none"/>
        </w:rPr>
        <w:t>（姓名）系</w:t>
      </w:r>
      <w:r>
        <w:rPr>
          <w:rFonts w:ascii="宋体"/>
          <w:color w:val="auto"/>
          <w:sz w:val="22"/>
          <w:szCs w:val="22"/>
          <w:highlight w:val="none"/>
          <w:u w:val="single" w:color="000000"/>
        </w:rPr>
        <w:t xml:space="preserve">                      </w:t>
      </w:r>
      <w:r>
        <w:rPr>
          <w:rFonts w:ascii="宋体"/>
          <w:color w:val="auto"/>
          <w:sz w:val="22"/>
          <w:szCs w:val="22"/>
          <w:highlight w:val="none"/>
        </w:rPr>
        <w:t>（竞选人名称</w:t>
      </w:r>
      <w:r>
        <w:rPr>
          <w:rFonts w:ascii="宋体"/>
          <w:color w:val="auto"/>
          <w:spacing w:val="1"/>
          <w:sz w:val="22"/>
          <w:szCs w:val="22"/>
          <w:highlight w:val="none"/>
        </w:rPr>
        <w:t>）</w:t>
      </w:r>
      <w:r>
        <w:rPr>
          <w:rFonts w:ascii="宋体"/>
          <w:color w:val="auto"/>
          <w:sz w:val="22"/>
          <w:szCs w:val="22"/>
          <w:highlight w:val="none"/>
        </w:rPr>
        <w:t>的法定代</w:t>
      </w:r>
      <w:r>
        <w:rPr>
          <w:rFonts w:ascii="宋体"/>
          <w:color w:val="auto"/>
          <w:spacing w:val="1"/>
          <w:sz w:val="22"/>
          <w:szCs w:val="22"/>
          <w:highlight w:val="none"/>
        </w:rPr>
        <w:t>表</w:t>
      </w:r>
      <w:r>
        <w:rPr>
          <w:rFonts w:ascii="宋体"/>
          <w:color w:val="auto"/>
          <w:sz w:val="22"/>
          <w:szCs w:val="22"/>
          <w:highlight w:val="none"/>
        </w:rPr>
        <w:t>人，现委托</w:t>
      </w:r>
      <w:r>
        <w:rPr>
          <w:rFonts w:ascii="宋体"/>
          <w:color w:val="auto"/>
          <w:sz w:val="22"/>
          <w:szCs w:val="22"/>
          <w:highlight w:val="none"/>
          <w:u w:val="single" w:color="000000"/>
        </w:rPr>
        <w:t xml:space="preserve">        </w:t>
      </w:r>
      <w:r>
        <w:rPr>
          <w:rFonts w:ascii="宋体"/>
          <w:color w:val="auto"/>
          <w:sz w:val="22"/>
          <w:szCs w:val="22"/>
          <w:highlight w:val="none"/>
        </w:rPr>
        <w:t>（姓名）为我方代理人。代理人根据授权，以我方名义签署、澄清、说明、补正、递交、撤回、 修改</w:t>
      </w:r>
      <w:r>
        <w:rPr>
          <w:rFonts w:ascii="宋体"/>
          <w:color w:val="auto"/>
          <w:sz w:val="22"/>
          <w:szCs w:val="22"/>
          <w:highlight w:val="none"/>
          <w:u w:val="single" w:color="000000"/>
        </w:rPr>
        <w:t xml:space="preserve">                   </w:t>
      </w:r>
      <w:r>
        <w:rPr>
          <w:rFonts w:ascii="宋体"/>
          <w:color w:val="auto"/>
          <w:sz w:val="22"/>
          <w:szCs w:val="22"/>
          <w:highlight w:val="none"/>
        </w:rPr>
        <w:t>（项</w:t>
      </w:r>
      <w:r>
        <w:rPr>
          <w:rFonts w:ascii="宋体"/>
          <w:color w:val="auto"/>
          <w:spacing w:val="-1"/>
          <w:sz w:val="22"/>
          <w:szCs w:val="22"/>
          <w:highlight w:val="none"/>
        </w:rPr>
        <w:t>目</w:t>
      </w:r>
      <w:r>
        <w:rPr>
          <w:rFonts w:ascii="宋体"/>
          <w:color w:val="auto"/>
          <w:sz w:val="22"/>
          <w:szCs w:val="22"/>
          <w:highlight w:val="none"/>
        </w:rPr>
        <w:t>名称）竞选文件、签订合同和处理有关事宜， 其法律后果由我方承担。</w:t>
      </w:r>
    </w:p>
    <w:p w14:paraId="22E3CCE0">
      <w:pPr>
        <w:snapToGrid w:val="0"/>
        <w:spacing w:line="440" w:lineRule="exact"/>
        <w:ind w:firstLine="420"/>
        <w:rPr>
          <w:rFonts w:ascii="宋体"/>
          <w:color w:val="auto"/>
          <w:sz w:val="22"/>
          <w:szCs w:val="22"/>
          <w:highlight w:val="none"/>
        </w:rPr>
      </w:pPr>
      <w:r>
        <w:rPr>
          <w:rFonts w:ascii="宋体"/>
          <w:color w:val="auto"/>
          <w:sz w:val="22"/>
          <w:szCs w:val="22"/>
          <w:highlight w:val="none"/>
        </w:rPr>
        <w:t>委托</w:t>
      </w:r>
      <w:r>
        <w:rPr>
          <w:rFonts w:ascii="宋体"/>
          <w:color w:val="auto"/>
          <w:spacing w:val="-1"/>
          <w:sz w:val="22"/>
          <w:szCs w:val="22"/>
          <w:highlight w:val="none"/>
        </w:rPr>
        <w:t>期</w:t>
      </w:r>
      <w:r>
        <w:rPr>
          <w:rFonts w:ascii="宋体"/>
          <w:color w:val="auto"/>
          <w:sz w:val="22"/>
          <w:szCs w:val="22"/>
          <w:highlight w:val="none"/>
        </w:rPr>
        <w:t>限：</w:t>
      </w:r>
      <w:r>
        <w:rPr>
          <w:rFonts w:ascii="宋体"/>
          <w:color w:val="auto"/>
          <w:sz w:val="22"/>
          <w:szCs w:val="22"/>
          <w:highlight w:val="none"/>
          <w:u w:val="single" w:color="000000"/>
        </w:rPr>
        <w:t>90日历天（从提交竞选文件截止日起计算）</w:t>
      </w:r>
      <w:r>
        <w:rPr>
          <w:rFonts w:ascii="宋体"/>
          <w:color w:val="auto"/>
          <w:sz w:val="22"/>
          <w:szCs w:val="22"/>
          <w:highlight w:val="none"/>
        </w:rPr>
        <w:t xml:space="preserve">。 </w:t>
      </w:r>
    </w:p>
    <w:p w14:paraId="70F4629E">
      <w:pPr>
        <w:snapToGrid w:val="0"/>
        <w:spacing w:line="440" w:lineRule="exact"/>
        <w:ind w:firstLine="420"/>
        <w:rPr>
          <w:rFonts w:ascii="宋体"/>
          <w:color w:val="auto"/>
          <w:sz w:val="22"/>
          <w:szCs w:val="22"/>
          <w:highlight w:val="none"/>
        </w:rPr>
      </w:pPr>
      <w:r>
        <w:rPr>
          <w:rFonts w:ascii="宋体"/>
          <w:color w:val="auto"/>
          <w:sz w:val="22"/>
          <w:szCs w:val="22"/>
          <w:highlight w:val="none"/>
        </w:rPr>
        <w:t>代理人无转委托权。</w:t>
      </w:r>
    </w:p>
    <w:p w14:paraId="62DDDD85">
      <w:pPr>
        <w:snapToGrid w:val="0"/>
        <w:spacing w:line="360" w:lineRule="auto"/>
        <w:rPr>
          <w:rFonts w:ascii="宋体"/>
          <w:color w:val="auto"/>
          <w:sz w:val="22"/>
          <w:szCs w:val="22"/>
          <w:highlight w:val="none"/>
        </w:rPr>
      </w:pPr>
      <w:r>
        <w:rPr>
          <w:rFonts w:ascii="宋体"/>
          <w:color w:val="auto"/>
          <w:sz w:val="22"/>
          <w:szCs w:val="22"/>
          <w:highlight w:val="none"/>
        </w:rPr>
        <w:t xml:space="preserve"> </w:t>
      </w:r>
    </w:p>
    <w:p w14:paraId="2F7242BD">
      <w:pPr>
        <w:snapToGrid w:val="0"/>
        <w:spacing w:line="360" w:lineRule="auto"/>
        <w:ind w:firstLine="1694"/>
        <w:rPr>
          <w:rFonts w:ascii="宋体"/>
          <w:color w:val="auto"/>
          <w:sz w:val="22"/>
          <w:szCs w:val="22"/>
          <w:highlight w:val="none"/>
        </w:rPr>
      </w:pPr>
      <w:r>
        <w:rPr>
          <w:rFonts w:ascii="宋体"/>
          <w:color w:val="auto"/>
          <w:sz w:val="22"/>
          <w:szCs w:val="22"/>
          <w:highlight w:val="none"/>
        </w:rPr>
        <w:t>竞  选  人：</w:t>
      </w:r>
      <w:r>
        <w:rPr>
          <w:rFonts w:ascii="宋体"/>
          <w:color w:val="auto"/>
          <w:sz w:val="22"/>
          <w:szCs w:val="22"/>
          <w:highlight w:val="none"/>
          <w:u w:val="single" w:color="000000"/>
        </w:rPr>
        <w:t xml:space="preserve">                                </w:t>
      </w:r>
      <w:r>
        <w:rPr>
          <w:rFonts w:ascii="宋体"/>
          <w:color w:val="auto"/>
          <w:sz w:val="22"/>
          <w:szCs w:val="22"/>
          <w:highlight w:val="none"/>
        </w:rPr>
        <w:t>（</w:t>
      </w:r>
      <w:r>
        <w:rPr>
          <w:rFonts w:ascii="宋体"/>
          <w:color w:val="auto"/>
          <w:spacing w:val="-1"/>
          <w:sz w:val="22"/>
          <w:szCs w:val="22"/>
          <w:highlight w:val="none"/>
        </w:rPr>
        <w:t>盖单位公章</w:t>
      </w:r>
      <w:r>
        <w:rPr>
          <w:rFonts w:ascii="宋体"/>
          <w:color w:val="auto"/>
          <w:sz w:val="22"/>
          <w:szCs w:val="22"/>
          <w:highlight w:val="none"/>
        </w:rPr>
        <w:t xml:space="preserve">） </w:t>
      </w:r>
    </w:p>
    <w:p w14:paraId="01B22E58">
      <w:pPr>
        <w:snapToGrid w:val="0"/>
        <w:spacing w:line="360" w:lineRule="auto"/>
        <w:ind w:firstLine="1680"/>
        <w:rPr>
          <w:rFonts w:ascii="宋体"/>
          <w:color w:val="auto"/>
          <w:sz w:val="22"/>
          <w:szCs w:val="22"/>
          <w:highlight w:val="none"/>
        </w:rPr>
      </w:pPr>
      <w:r>
        <w:rPr>
          <w:rFonts w:ascii="宋体"/>
          <w:color w:val="auto"/>
          <w:sz w:val="22"/>
          <w:szCs w:val="22"/>
          <w:highlight w:val="none"/>
        </w:rPr>
        <w:t>法定代表人：</w:t>
      </w:r>
      <w:r>
        <w:rPr>
          <w:rFonts w:ascii="宋体"/>
          <w:color w:val="auto"/>
          <w:sz w:val="22"/>
          <w:szCs w:val="22"/>
          <w:highlight w:val="none"/>
          <w:u w:val="single" w:color="000000"/>
        </w:rPr>
        <w:t xml:space="preserve">                                </w:t>
      </w:r>
      <w:r>
        <w:rPr>
          <w:rFonts w:ascii="宋体"/>
          <w:color w:val="auto"/>
          <w:sz w:val="22"/>
          <w:szCs w:val="22"/>
          <w:highlight w:val="none"/>
        </w:rPr>
        <w:t>（签字</w:t>
      </w:r>
      <w:r>
        <w:rPr>
          <w:rFonts w:hint="eastAsia" w:ascii="宋体"/>
          <w:color w:val="auto"/>
          <w:sz w:val="22"/>
          <w:szCs w:val="22"/>
          <w:highlight w:val="none"/>
        </w:rPr>
        <w:t>或</w:t>
      </w:r>
      <w:r>
        <w:rPr>
          <w:rFonts w:ascii="宋体"/>
          <w:color w:val="auto"/>
          <w:sz w:val="22"/>
          <w:szCs w:val="22"/>
          <w:highlight w:val="none"/>
        </w:rPr>
        <w:t>盖章）</w:t>
      </w:r>
    </w:p>
    <w:p w14:paraId="3174D4D2">
      <w:pPr>
        <w:snapToGrid w:val="0"/>
        <w:spacing w:line="360" w:lineRule="auto"/>
        <w:ind w:firstLine="1680"/>
        <w:rPr>
          <w:rFonts w:ascii="宋体"/>
          <w:color w:val="auto"/>
          <w:sz w:val="22"/>
          <w:szCs w:val="22"/>
          <w:highlight w:val="none"/>
        </w:rPr>
      </w:pPr>
      <w:r>
        <w:rPr>
          <w:rFonts w:ascii="宋体"/>
          <w:color w:val="auto"/>
          <w:sz w:val="22"/>
          <w:szCs w:val="22"/>
          <w:highlight w:val="none"/>
        </w:rPr>
        <w:t>身份证号码：</w:t>
      </w:r>
      <w:r>
        <w:rPr>
          <w:rFonts w:ascii="宋体"/>
          <w:color w:val="auto"/>
          <w:sz w:val="22"/>
          <w:szCs w:val="22"/>
          <w:highlight w:val="none"/>
          <w:u w:val="single" w:color="000000"/>
        </w:rPr>
        <w:t xml:space="preserve">                                </w:t>
      </w:r>
    </w:p>
    <w:p w14:paraId="2A83FAFB">
      <w:pPr>
        <w:snapToGrid w:val="0"/>
        <w:spacing w:line="360" w:lineRule="auto"/>
        <w:ind w:firstLine="1680"/>
        <w:rPr>
          <w:rFonts w:ascii="宋体"/>
          <w:color w:val="auto"/>
          <w:sz w:val="22"/>
          <w:szCs w:val="22"/>
          <w:highlight w:val="none"/>
        </w:rPr>
      </w:pPr>
      <w:r>
        <w:rPr>
          <w:rFonts w:ascii="宋体"/>
          <w:color w:val="auto"/>
          <w:sz w:val="22"/>
          <w:szCs w:val="22"/>
          <w:highlight w:val="none"/>
        </w:rPr>
        <w:t>委托代理人：</w:t>
      </w:r>
      <w:r>
        <w:rPr>
          <w:rFonts w:ascii="宋体"/>
          <w:color w:val="auto"/>
          <w:sz w:val="22"/>
          <w:szCs w:val="22"/>
          <w:highlight w:val="none"/>
          <w:u w:val="single" w:color="000000"/>
        </w:rPr>
        <w:t xml:space="preserve">                                </w:t>
      </w:r>
      <w:r>
        <w:rPr>
          <w:rFonts w:ascii="宋体"/>
          <w:color w:val="auto"/>
          <w:sz w:val="22"/>
          <w:szCs w:val="22"/>
          <w:highlight w:val="none"/>
        </w:rPr>
        <w:t>（签</w:t>
      </w:r>
      <w:r>
        <w:rPr>
          <w:rFonts w:ascii="宋体"/>
          <w:color w:val="auto"/>
          <w:spacing w:val="-1"/>
          <w:sz w:val="22"/>
          <w:szCs w:val="22"/>
          <w:highlight w:val="none"/>
        </w:rPr>
        <w:t>字</w:t>
      </w:r>
      <w:r>
        <w:rPr>
          <w:rFonts w:ascii="宋体"/>
          <w:color w:val="auto"/>
          <w:sz w:val="22"/>
          <w:szCs w:val="22"/>
          <w:highlight w:val="none"/>
        </w:rPr>
        <w:t>）</w:t>
      </w:r>
    </w:p>
    <w:p w14:paraId="6A2AAB55">
      <w:pPr>
        <w:snapToGrid w:val="0"/>
        <w:spacing w:line="360" w:lineRule="auto"/>
        <w:ind w:firstLine="1680"/>
        <w:rPr>
          <w:rFonts w:ascii="宋体"/>
          <w:color w:val="auto"/>
          <w:sz w:val="22"/>
          <w:szCs w:val="22"/>
          <w:highlight w:val="none"/>
        </w:rPr>
      </w:pPr>
      <w:r>
        <w:rPr>
          <w:rFonts w:ascii="宋体"/>
          <w:color w:val="auto"/>
          <w:sz w:val="22"/>
          <w:szCs w:val="22"/>
          <w:highlight w:val="none"/>
        </w:rPr>
        <w:t>身份证号码：</w:t>
      </w:r>
      <w:r>
        <w:rPr>
          <w:rFonts w:ascii="宋体"/>
          <w:color w:val="auto"/>
          <w:sz w:val="22"/>
          <w:szCs w:val="22"/>
          <w:highlight w:val="none"/>
          <w:u w:val="single" w:color="000000"/>
        </w:rPr>
        <w:t xml:space="preserve">                                </w:t>
      </w:r>
    </w:p>
    <w:tbl>
      <w:tblPr>
        <w:tblStyle w:val="14"/>
        <w:tblW w:w="8679" w:type="dxa"/>
        <w:tblInd w:w="27"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340"/>
        <w:gridCol w:w="4339"/>
      </w:tblGrid>
      <w:tr w14:paraId="0F4FEE27">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3001" w:hRule="atLeast"/>
        </w:trPr>
        <w:tc>
          <w:tcPr>
            <w:tcW w:w="4340" w:type="dxa"/>
            <w:tcBorders>
              <w:top w:val="dotDotDash" w:color="000000" w:sz="4" w:space="0"/>
              <w:left w:val="dotDotDash" w:color="000000" w:sz="4" w:space="0"/>
              <w:bottom w:val="dotDotDash" w:color="000000" w:sz="4" w:space="0"/>
              <w:right w:val="dotDotDash" w:color="000000" w:sz="4" w:space="0"/>
            </w:tcBorders>
            <w:noWrap/>
          </w:tcPr>
          <w:p w14:paraId="5F429EFF">
            <w:pPr>
              <w:snapToGrid w:val="0"/>
              <w:spacing w:line="360" w:lineRule="auto"/>
              <w:jc w:val="center"/>
              <w:rPr>
                <w:rFonts w:ascii="宋体"/>
                <w:color w:val="auto"/>
                <w:sz w:val="22"/>
                <w:szCs w:val="22"/>
                <w:highlight w:val="none"/>
              </w:rPr>
            </w:pPr>
            <w:r>
              <w:rPr>
                <w:rFonts w:ascii="宋体"/>
                <w:color w:val="auto"/>
                <w:sz w:val="22"/>
                <w:szCs w:val="22"/>
                <w:highlight w:val="none"/>
              </w:rPr>
              <w:t>附：法定代表人身份证（双面）复印件</w:t>
            </w:r>
          </w:p>
          <w:p w14:paraId="68C6828B">
            <w:pPr>
              <w:snapToGrid w:val="0"/>
              <w:spacing w:line="360" w:lineRule="auto"/>
              <w:ind w:firstLine="420"/>
              <w:jc w:val="center"/>
              <w:rPr>
                <w:rFonts w:ascii="宋体"/>
                <w:color w:val="auto"/>
                <w:highlight w:val="none"/>
              </w:rPr>
            </w:pPr>
          </w:p>
          <w:p w14:paraId="13F6D0B9">
            <w:pPr>
              <w:snapToGrid w:val="0"/>
              <w:rPr>
                <w:rFonts w:ascii="宋体"/>
                <w:color w:val="auto"/>
                <w:highlight w:val="none"/>
              </w:rPr>
            </w:pPr>
          </w:p>
        </w:tc>
        <w:tc>
          <w:tcPr>
            <w:tcW w:w="4339" w:type="dxa"/>
            <w:tcBorders>
              <w:top w:val="dotDotDash" w:color="000000" w:sz="4" w:space="0"/>
              <w:left w:val="nil"/>
              <w:bottom w:val="dotDotDash" w:color="000000" w:sz="4" w:space="0"/>
              <w:right w:val="dotDotDash" w:color="000000" w:sz="4" w:space="0"/>
            </w:tcBorders>
            <w:noWrap/>
          </w:tcPr>
          <w:p w14:paraId="2195D7CC">
            <w:pPr>
              <w:snapToGrid w:val="0"/>
              <w:spacing w:line="360" w:lineRule="auto"/>
              <w:jc w:val="center"/>
              <w:rPr>
                <w:rFonts w:ascii="宋体"/>
                <w:color w:val="auto"/>
                <w:sz w:val="22"/>
                <w:szCs w:val="22"/>
                <w:highlight w:val="none"/>
              </w:rPr>
            </w:pPr>
            <w:r>
              <w:rPr>
                <w:rFonts w:ascii="宋体"/>
                <w:color w:val="auto"/>
                <w:sz w:val="22"/>
                <w:szCs w:val="22"/>
                <w:highlight w:val="none"/>
              </w:rPr>
              <w:t>附：委托代理人身份证（双面）复印件</w:t>
            </w:r>
          </w:p>
          <w:p w14:paraId="0229C4AB">
            <w:pPr>
              <w:pStyle w:val="23"/>
              <w:snapToGrid w:val="0"/>
              <w:spacing w:before="312" w:after="312"/>
              <w:jc w:val="center"/>
              <w:rPr>
                <w:rFonts w:cs="Times New Roman"/>
                <w:b/>
                <w:bCs/>
                <w:color w:val="auto"/>
                <w:kern w:val="2"/>
                <w:sz w:val="22"/>
                <w:szCs w:val="22"/>
                <w:highlight w:val="none"/>
              </w:rPr>
            </w:pPr>
          </w:p>
          <w:p w14:paraId="0AA624C1">
            <w:pPr>
              <w:snapToGrid w:val="0"/>
              <w:jc w:val="center"/>
              <w:rPr>
                <w:rFonts w:ascii="宋体"/>
                <w:color w:val="auto"/>
                <w:sz w:val="22"/>
                <w:szCs w:val="22"/>
                <w:highlight w:val="none"/>
              </w:rPr>
            </w:pPr>
          </w:p>
          <w:p w14:paraId="1F38E4FE">
            <w:pPr>
              <w:pStyle w:val="23"/>
              <w:snapToGrid w:val="0"/>
              <w:spacing w:before="312" w:after="312"/>
              <w:jc w:val="center"/>
              <w:rPr>
                <w:rFonts w:cs="Times New Roman"/>
                <w:b/>
                <w:bCs/>
                <w:color w:val="auto"/>
                <w:kern w:val="2"/>
                <w:sz w:val="22"/>
                <w:szCs w:val="22"/>
                <w:highlight w:val="none"/>
              </w:rPr>
            </w:pPr>
          </w:p>
          <w:p w14:paraId="3A0F0928">
            <w:pPr>
              <w:snapToGrid w:val="0"/>
              <w:rPr>
                <w:rFonts w:ascii="宋体"/>
                <w:color w:val="auto"/>
                <w:sz w:val="22"/>
                <w:szCs w:val="22"/>
                <w:highlight w:val="none"/>
              </w:rPr>
            </w:pPr>
          </w:p>
          <w:p w14:paraId="74F78A7F">
            <w:pPr>
              <w:snapToGrid w:val="0"/>
              <w:spacing w:line="360" w:lineRule="auto"/>
              <w:jc w:val="both"/>
              <w:rPr>
                <w:rFonts w:ascii="宋体"/>
                <w:i/>
                <w:color w:val="auto"/>
                <w:sz w:val="22"/>
                <w:szCs w:val="22"/>
                <w:highlight w:val="none"/>
              </w:rPr>
            </w:pPr>
          </w:p>
        </w:tc>
      </w:tr>
    </w:tbl>
    <w:p w14:paraId="1E9374FA">
      <w:pPr>
        <w:snapToGrid w:val="0"/>
        <w:spacing w:line="240" w:lineRule="exact"/>
        <w:rPr>
          <w:rFonts w:ascii="宋体"/>
          <w:color w:val="auto"/>
          <w:sz w:val="28"/>
          <w:szCs w:val="28"/>
          <w:highlight w:val="none"/>
        </w:rPr>
      </w:pPr>
      <w:r>
        <w:rPr>
          <w:rFonts w:ascii="宋体"/>
          <w:color w:val="auto"/>
          <w:sz w:val="28"/>
          <w:szCs w:val="28"/>
          <w:highlight w:val="none"/>
        </w:rPr>
        <w:t xml:space="preserve"> </w:t>
      </w:r>
    </w:p>
    <w:p w14:paraId="283480E8">
      <w:pPr>
        <w:snapToGrid w:val="0"/>
        <w:spacing w:line="360" w:lineRule="auto"/>
        <w:ind w:firstLine="3780"/>
        <w:rPr>
          <w:rFonts w:ascii="宋体"/>
          <w:color w:val="auto"/>
          <w:highlight w:val="none"/>
        </w:rPr>
      </w:pPr>
      <w:r>
        <w:rPr>
          <w:rFonts w:ascii="宋体"/>
          <w:color w:val="auto"/>
          <w:highlight w:val="none"/>
          <w:u w:val="single" w:color="000000"/>
        </w:rPr>
        <w:t xml:space="preserve">       </w:t>
      </w:r>
      <w:r>
        <w:rPr>
          <w:rFonts w:ascii="宋体"/>
          <w:color w:val="auto"/>
          <w:highlight w:val="none"/>
        </w:rPr>
        <w:t>年</w:t>
      </w:r>
      <w:r>
        <w:rPr>
          <w:rFonts w:ascii="宋体"/>
          <w:color w:val="auto"/>
          <w:highlight w:val="none"/>
          <w:u w:val="single" w:color="000000"/>
        </w:rPr>
        <w:t xml:space="preserve">       </w:t>
      </w:r>
      <w:r>
        <w:rPr>
          <w:rFonts w:ascii="宋体"/>
          <w:color w:val="auto"/>
          <w:highlight w:val="none"/>
        </w:rPr>
        <w:t>月</w:t>
      </w:r>
      <w:r>
        <w:rPr>
          <w:rFonts w:ascii="宋体"/>
          <w:color w:val="auto"/>
          <w:highlight w:val="none"/>
          <w:u w:val="single" w:color="000000"/>
        </w:rPr>
        <w:t xml:space="preserve">       </w:t>
      </w:r>
      <w:r>
        <w:rPr>
          <w:rFonts w:ascii="宋体"/>
          <w:color w:val="auto"/>
          <w:highlight w:val="none"/>
        </w:rPr>
        <w:t>日</w:t>
      </w:r>
    </w:p>
    <w:p w14:paraId="040D288A">
      <w:pPr>
        <w:snapToGrid w:val="0"/>
        <w:spacing w:line="360" w:lineRule="auto"/>
        <w:rPr>
          <w:rFonts w:ascii="宋体"/>
          <w:color w:val="auto"/>
          <w:highlight w:val="none"/>
        </w:rPr>
      </w:pPr>
      <w:r>
        <w:rPr>
          <w:rFonts w:ascii="宋体"/>
          <w:color w:val="auto"/>
          <w:highlight w:val="none"/>
        </w:rPr>
        <w:t xml:space="preserve"> </w:t>
      </w:r>
    </w:p>
    <w:p w14:paraId="2506C64B">
      <w:pPr>
        <w:snapToGrid w:val="0"/>
        <w:spacing w:line="360" w:lineRule="auto"/>
        <w:ind w:firstLine="440" w:firstLineChars="200"/>
        <w:rPr>
          <w:rFonts w:ascii="宋体"/>
          <w:color w:val="auto"/>
          <w:sz w:val="22"/>
          <w:szCs w:val="22"/>
          <w:highlight w:val="none"/>
        </w:rPr>
      </w:pPr>
      <w:r>
        <w:rPr>
          <w:rFonts w:ascii="宋体"/>
          <w:color w:val="auto"/>
          <w:sz w:val="22"/>
          <w:szCs w:val="22"/>
          <w:highlight w:val="none"/>
        </w:rPr>
        <w:t>注：1、法定代表人参加竞选活动并签署文件的不需要授权委托书，只需提供法定代表人身份证明；非法定代表人参加竞选活动及签署文件的除提供法定代表人身份证明外还须提供授权委托书和本人身份证复印件。</w:t>
      </w:r>
    </w:p>
    <w:p w14:paraId="7FEBD864">
      <w:pPr>
        <w:numPr>
          <w:ilvl w:val="0"/>
          <w:numId w:val="5"/>
        </w:numPr>
        <w:snapToGrid w:val="0"/>
        <w:spacing w:line="360" w:lineRule="auto"/>
        <w:ind w:left="0" w:firstLine="440" w:firstLineChars="200"/>
        <w:rPr>
          <w:rFonts w:ascii="宋体"/>
          <w:color w:val="auto"/>
          <w:highlight w:val="none"/>
        </w:rPr>
      </w:pPr>
      <w:r>
        <w:rPr>
          <w:rFonts w:ascii="宋体" w:cs="MingLiU"/>
          <w:bCs/>
          <w:color w:val="auto"/>
          <w:sz w:val="22"/>
          <w:szCs w:val="22"/>
          <w:highlight w:val="none"/>
        </w:rPr>
        <w:t>法定代表人身份证明及授权委托书原件和本人身份证复印件装入竞选文件一并递交。另外须准备一份在比选现场出具。</w:t>
      </w:r>
    </w:p>
    <w:p w14:paraId="23406168">
      <w:pPr>
        <w:rPr>
          <w:rFonts w:ascii="宋体"/>
          <w:b/>
          <w:color w:val="auto"/>
          <w:sz w:val="32"/>
          <w:szCs w:val="32"/>
          <w:highlight w:val="none"/>
        </w:rPr>
      </w:pPr>
      <w:r>
        <w:rPr>
          <w:rFonts w:ascii="宋体"/>
          <w:b/>
          <w:color w:val="auto"/>
          <w:sz w:val="32"/>
          <w:szCs w:val="32"/>
          <w:highlight w:val="none"/>
        </w:rPr>
        <w:br w:type="page"/>
      </w:r>
    </w:p>
    <w:p w14:paraId="65C48E62">
      <w:pPr>
        <w:pStyle w:val="18"/>
        <w:snapToGrid w:val="0"/>
        <w:spacing w:line="400" w:lineRule="exact"/>
        <w:jc w:val="center"/>
        <w:rPr>
          <w:rFonts w:ascii="宋体"/>
          <w:bCs w:val="0"/>
          <w:color w:val="auto"/>
          <w:kern w:val="0"/>
          <w:highlight w:val="none"/>
        </w:rPr>
      </w:pPr>
      <w:r>
        <w:rPr>
          <w:rFonts w:ascii="宋体"/>
          <w:bCs w:val="0"/>
          <w:color w:val="auto"/>
          <w:kern w:val="0"/>
          <w:highlight w:val="none"/>
        </w:rPr>
        <w:t>（三）低价风险担保提交承诺书</w:t>
      </w:r>
    </w:p>
    <w:p w14:paraId="0D8F601D">
      <w:pPr>
        <w:snapToGrid w:val="0"/>
        <w:spacing w:line="360" w:lineRule="auto"/>
        <w:jc w:val="center"/>
        <w:rPr>
          <w:rFonts w:ascii="宋体"/>
          <w:color w:val="auto"/>
          <w:sz w:val="32"/>
          <w:szCs w:val="32"/>
          <w:highlight w:val="none"/>
        </w:rPr>
      </w:pPr>
      <w:r>
        <w:rPr>
          <w:rFonts w:ascii="宋体"/>
          <w:color w:val="auto"/>
          <w:sz w:val="26"/>
          <w:szCs w:val="26"/>
          <w:highlight w:val="none"/>
        </w:rPr>
        <w:t>（竞选报价低于比选项目最高限价85%时采用）</w:t>
      </w:r>
    </w:p>
    <w:p w14:paraId="7C65BBD7">
      <w:pPr>
        <w:snapToGrid w:val="0"/>
        <w:spacing w:line="600" w:lineRule="exact"/>
        <w:rPr>
          <w:rFonts w:ascii="宋体"/>
          <w:color w:val="auto"/>
          <w:sz w:val="22"/>
          <w:szCs w:val="22"/>
          <w:highlight w:val="none"/>
        </w:rPr>
      </w:pPr>
      <w:r>
        <w:rPr>
          <w:rFonts w:ascii="宋体"/>
          <w:color w:val="auto"/>
          <w:sz w:val="22"/>
          <w:szCs w:val="22"/>
          <w:highlight w:val="none"/>
          <w:u w:val="single" w:color="000000"/>
        </w:rPr>
        <w:t xml:space="preserve">    （比选人名称）    </w:t>
      </w:r>
      <w:r>
        <w:rPr>
          <w:rFonts w:ascii="宋体"/>
          <w:color w:val="auto"/>
          <w:sz w:val="22"/>
          <w:szCs w:val="22"/>
          <w:highlight w:val="none"/>
        </w:rPr>
        <w:t>：</w:t>
      </w:r>
    </w:p>
    <w:p w14:paraId="2853F30B">
      <w:pPr>
        <w:snapToGrid w:val="0"/>
        <w:spacing w:line="600" w:lineRule="exact"/>
        <w:ind w:firstLine="440" w:firstLineChars="200"/>
        <w:rPr>
          <w:rFonts w:ascii="宋体"/>
          <w:color w:val="auto"/>
          <w:sz w:val="22"/>
          <w:szCs w:val="22"/>
          <w:highlight w:val="none"/>
        </w:rPr>
      </w:pPr>
      <w:r>
        <w:rPr>
          <w:rFonts w:ascii="宋体"/>
          <w:color w:val="auto"/>
          <w:sz w:val="22"/>
          <w:szCs w:val="22"/>
          <w:highlight w:val="none"/>
        </w:rPr>
        <w:t>我公司</w:t>
      </w:r>
      <w:r>
        <w:rPr>
          <w:rFonts w:ascii="宋体"/>
          <w:color w:val="auto"/>
          <w:sz w:val="22"/>
          <w:szCs w:val="22"/>
          <w:highlight w:val="none"/>
          <w:u w:val="single" w:color="000000"/>
        </w:rPr>
        <w:t xml:space="preserve">    （竞选人名称）    </w:t>
      </w:r>
      <w:r>
        <w:rPr>
          <w:rFonts w:ascii="宋体"/>
          <w:color w:val="auto"/>
          <w:sz w:val="22"/>
          <w:szCs w:val="22"/>
          <w:highlight w:val="none"/>
        </w:rPr>
        <w:t>参加了你公司</w:t>
      </w:r>
      <w:r>
        <w:rPr>
          <w:rFonts w:ascii="宋体"/>
          <w:color w:val="auto"/>
          <w:sz w:val="22"/>
          <w:szCs w:val="22"/>
          <w:highlight w:val="none"/>
          <w:u w:val="single" w:color="000000"/>
        </w:rPr>
        <w:t xml:space="preserve">    （项目名称）    </w:t>
      </w:r>
      <w:r>
        <w:rPr>
          <w:rFonts w:ascii="宋体"/>
          <w:color w:val="auto"/>
          <w:sz w:val="22"/>
          <w:szCs w:val="22"/>
          <w:highlight w:val="none"/>
        </w:rPr>
        <w:t>的竞选。我公司竞选报价低于最高限价的85%，若获得中选资格，我公司承诺按照竞争性比选文件的规定递交低价风险担保。否则，我公司愿承担竞争性比选文件中约定的，因未按规定递交低价风险担保的相应责任。</w:t>
      </w:r>
    </w:p>
    <w:p w14:paraId="3A18C901">
      <w:pPr>
        <w:snapToGrid w:val="0"/>
        <w:spacing w:line="600" w:lineRule="exact"/>
        <w:ind w:firstLine="440" w:firstLineChars="200"/>
        <w:rPr>
          <w:rFonts w:ascii="宋体"/>
          <w:color w:val="auto"/>
          <w:sz w:val="22"/>
          <w:szCs w:val="22"/>
          <w:highlight w:val="none"/>
        </w:rPr>
      </w:pPr>
      <w:r>
        <w:rPr>
          <w:rFonts w:ascii="宋体"/>
          <w:color w:val="auto"/>
          <w:sz w:val="22"/>
          <w:szCs w:val="22"/>
          <w:highlight w:val="none"/>
        </w:rPr>
        <w:t>特此承诺。</w:t>
      </w:r>
    </w:p>
    <w:p w14:paraId="097FE333">
      <w:pPr>
        <w:snapToGrid w:val="0"/>
        <w:spacing w:line="360" w:lineRule="auto"/>
        <w:ind w:firstLine="640"/>
        <w:rPr>
          <w:rFonts w:ascii="宋体"/>
          <w:color w:val="auto"/>
          <w:sz w:val="32"/>
          <w:szCs w:val="32"/>
          <w:highlight w:val="none"/>
        </w:rPr>
      </w:pPr>
      <w:r>
        <w:rPr>
          <w:rFonts w:ascii="宋体"/>
          <w:color w:val="auto"/>
          <w:sz w:val="32"/>
          <w:szCs w:val="32"/>
          <w:highlight w:val="none"/>
        </w:rPr>
        <w:t xml:space="preserve"> </w:t>
      </w:r>
    </w:p>
    <w:p w14:paraId="1C4F409C">
      <w:pPr>
        <w:snapToGrid w:val="0"/>
        <w:spacing w:line="360" w:lineRule="auto"/>
        <w:ind w:firstLine="640"/>
        <w:rPr>
          <w:rFonts w:ascii="宋体"/>
          <w:color w:val="auto"/>
          <w:sz w:val="32"/>
          <w:szCs w:val="32"/>
          <w:highlight w:val="none"/>
        </w:rPr>
      </w:pPr>
      <w:r>
        <w:rPr>
          <w:rFonts w:ascii="宋体"/>
          <w:color w:val="auto"/>
          <w:sz w:val="32"/>
          <w:szCs w:val="32"/>
          <w:highlight w:val="none"/>
        </w:rPr>
        <w:t xml:space="preserve"> </w:t>
      </w:r>
    </w:p>
    <w:p w14:paraId="0AE1A38E">
      <w:pPr>
        <w:snapToGrid w:val="0"/>
        <w:spacing w:line="360" w:lineRule="auto"/>
        <w:ind w:firstLine="640"/>
        <w:rPr>
          <w:rFonts w:ascii="宋体"/>
          <w:color w:val="auto"/>
          <w:sz w:val="32"/>
          <w:szCs w:val="32"/>
          <w:highlight w:val="none"/>
        </w:rPr>
      </w:pPr>
      <w:r>
        <w:rPr>
          <w:rFonts w:ascii="宋体"/>
          <w:color w:val="auto"/>
          <w:sz w:val="32"/>
          <w:szCs w:val="32"/>
          <w:highlight w:val="none"/>
        </w:rPr>
        <w:t xml:space="preserve"> </w:t>
      </w:r>
    </w:p>
    <w:p w14:paraId="4361B8FC">
      <w:pPr>
        <w:snapToGrid w:val="0"/>
        <w:spacing w:line="360" w:lineRule="auto"/>
        <w:rPr>
          <w:rFonts w:ascii="宋体"/>
          <w:color w:val="auto"/>
          <w:sz w:val="32"/>
          <w:szCs w:val="32"/>
          <w:highlight w:val="none"/>
        </w:rPr>
      </w:pPr>
      <w:r>
        <w:rPr>
          <w:rFonts w:ascii="宋体"/>
          <w:color w:val="auto"/>
          <w:sz w:val="32"/>
          <w:szCs w:val="32"/>
          <w:highlight w:val="none"/>
        </w:rPr>
        <w:t xml:space="preserve"> </w:t>
      </w:r>
    </w:p>
    <w:p w14:paraId="021E1C4E">
      <w:pPr>
        <w:snapToGrid w:val="0"/>
        <w:spacing w:line="360" w:lineRule="auto"/>
        <w:ind w:firstLine="3300" w:firstLineChars="1500"/>
        <w:rPr>
          <w:rFonts w:ascii="宋体"/>
          <w:color w:val="auto"/>
          <w:sz w:val="22"/>
          <w:szCs w:val="22"/>
          <w:highlight w:val="none"/>
        </w:rPr>
      </w:pPr>
      <w:r>
        <w:rPr>
          <w:rFonts w:ascii="宋体"/>
          <w:color w:val="auto"/>
          <w:sz w:val="22"/>
          <w:szCs w:val="22"/>
          <w:highlight w:val="none"/>
        </w:rPr>
        <w:t>竞  选  人：</w:t>
      </w:r>
      <w:r>
        <w:rPr>
          <w:rFonts w:ascii="宋体"/>
          <w:color w:val="auto"/>
          <w:sz w:val="22"/>
          <w:szCs w:val="22"/>
          <w:highlight w:val="none"/>
          <w:u w:val="single" w:color="000000"/>
        </w:rPr>
        <w:t xml:space="preserve">            </w:t>
      </w:r>
      <w:r>
        <w:rPr>
          <w:rFonts w:ascii="宋体"/>
          <w:color w:val="auto"/>
          <w:sz w:val="22"/>
          <w:szCs w:val="22"/>
          <w:highlight w:val="none"/>
        </w:rPr>
        <w:t>（</w:t>
      </w:r>
      <w:r>
        <w:rPr>
          <w:rFonts w:ascii="宋体"/>
          <w:color w:val="auto"/>
          <w:spacing w:val="-1"/>
          <w:sz w:val="22"/>
          <w:szCs w:val="22"/>
          <w:highlight w:val="none"/>
        </w:rPr>
        <w:t>盖单位公章</w:t>
      </w:r>
      <w:r>
        <w:rPr>
          <w:rFonts w:ascii="宋体"/>
          <w:color w:val="auto"/>
          <w:sz w:val="22"/>
          <w:szCs w:val="22"/>
          <w:highlight w:val="none"/>
        </w:rPr>
        <w:t>）</w:t>
      </w:r>
    </w:p>
    <w:p w14:paraId="79556794">
      <w:pPr>
        <w:snapToGrid w:val="0"/>
        <w:spacing w:line="360" w:lineRule="auto"/>
        <w:ind w:firstLine="3080" w:firstLineChars="1400"/>
        <w:rPr>
          <w:rFonts w:ascii="宋体"/>
          <w:color w:val="auto"/>
          <w:sz w:val="22"/>
          <w:szCs w:val="22"/>
          <w:highlight w:val="none"/>
        </w:rPr>
      </w:pPr>
      <w:r>
        <w:rPr>
          <w:rFonts w:ascii="宋体"/>
          <w:color w:val="auto"/>
          <w:sz w:val="22"/>
          <w:szCs w:val="22"/>
          <w:highlight w:val="none"/>
        </w:rPr>
        <w:t xml:space="preserve"> </w:t>
      </w:r>
    </w:p>
    <w:p w14:paraId="1015D003">
      <w:pPr>
        <w:snapToGrid w:val="0"/>
        <w:spacing w:line="360" w:lineRule="auto"/>
        <w:ind w:firstLine="3300" w:firstLineChars="1500"/>
        <w:rPr>
          <w:rFonts w:ascii="宋体"/>
          <w:color w:val="auto"/>
          <w:sz w:val="22"/>
          <w:szCs w:val="22"/>
          <w:highlight w:val="none"/>
        </w:rPr>
      </w:pPr>
      <w:r>
        <w:rPr>
          <w:rFonts w:ascii="宋体"/>
          <w:color w:val="auto"/>
          <w:sz w:val="22"/>
          <w:szCs w:val="22"/>
          <w:highlight w:val="none"/>
        </w:rPr>
        <w:t>法定代表人：</w:t>
      </w:r>
      <w:r>
        <w:rPr>
          <w:rFonts w:ascii="宋体"/>
          <w:color w:val="auto"/>
          <w:sz w:val="22"/>
          <w:szCs w:val="22"/>
          <w:highlight w:val="none"/>
          <w:u w:val="single" w:color="000000"/>
        </w:rPr>
        <w:t xml:space="preserve">            </w:t>
      </w:r>
      <w:r>
        <w:rPr>
          <w:rFonts w:ascii="宋体"/>
          <w:color w:val="auto"/>
          <w:sz w:val="22"/>
          <w:szCs w:val="22"/>
          <w:highlight w:val="none"/>
        </w:rPr>
        <w:t>（签字</w:t>
      </w:r>
      <w:r>
        <w:rPr>
          <w:rFonts w:hint="eastAsia" w:ascii="宋体"/>
          <w:color w:val="auto"/>
          <w:sz w:val="22"/>
          <w:szCs w:val="22"/>
          <w:highlight w:val="none"/>
        </w:rPr>
        <w:t>或</w:t>
      </w:r>
      <w:r>
        <w:rPr>
          <w:rFonts w:ascii="宋体"/>
          <w:color w:val="auto"/>
          <w:sz w:val="22"/>
          <w:szCs w:val="22"/>
          <w:highlight w:val="none"/>
        </w:rPr>
        <w:t>盖章）</w:t>
      </w:r>
    </w:p>
    <w:p w14:paraId="5C6A1496">
      <w:pPr>
        <w:snapToGrid w:val="0"/>
        <w:ind w:firstLine="3600" w:firstLineChars="1500"/>
        <w:rPr>
          <w:rFonts w:ascii="宋体"/>
          <w:color w:val="auto"/>
          <w:highlight w:val="none"/>
        </w:rPr>
      </w:pPr>
      <w:r>
        <w:rPr>
          <w:rFonts w:ascii="宋体"/>
          <w:color w:val="auto"/>
          <w:highlight w:val="none"/>
        </w:rPr>
        <w:t xml:space="preserve"> </w:t>
      </w:r>
    </w:p>
    <w:p w14:paraId="70EB020E">
      <w:pPr>
        <w:snapToGrid w:val="0"/>
        <w:ind w:firstLine="4840" w:firstLineChars="2200"/>
        <w:rPr>
          <w:rFonts w:ascii="宋体"/>
          <w:color w:val="auto"/>
          <w:sz w:val="22"/>
          <w:szCs w:val="22"/>
          <w:highlight w:val="none"/>
        </w:rPr>
      </w:pPr>
      <w:r>
        <w:rPr>
          <w:rFonts w:ascii="宋体"/>
          <w:color w:val="auto"/>
          <w:sz w:val="22"/>
          <w:szCs w:val="22"/>
          <w:highlight w:val="none"/>
          <w:u w:val="single" w:color="000000"/>
        </w:rPr>
        <w:t xml:space="preserve">     </w:t>
      </w:r>
      <w:r>
        <w:rPr>
          <w:rFonts w:ascii="宋体"/>
          <w:color w:val="auto"/>
          <w:sz w:val="22"/>
          <w:szCs w:val="22"/>
          <w:highlight w:val="none"/>
        </w:rPr>
        <w:t>年</w:t>
      </w:r>
      <w:r>
        <w:rPr>
          <w:rFonts w:ascii="宋体"/>
          <w:color w:val="auto"/>
          <w:sz w:val="22"/>
          <w:szCs w:val="22"/>
          <w:highlight w:val="none"/>
          <w:u w:val="single" w:color="000000"/>
        </w:rPr>
        <w:t xml:space="preserve">    </w:t>
      </w:r>
      <w:r>
        <w:rPr>
          <w:rFonts w:ascii="宋体"/>
          <w:color w:val="auto"/>
          <w:sz w:val="22"/>
          <w:szCs w:val="22"/>
          <w:highlight w:val="none"/>
        </w:rPr>
        <w:t>月</w:t>
      </w:r>
      <w:r>
        <w:rPr>
          <w:rFonts w:ascii="宋体"/>
          <w:color w:val="auto"/>
          <w:sz w:val="22"/>
          <w:szCs w:val="22"/>
          <w:highlight w:val="none"/>
          <w:u w:val="single" w:color="000000"/>
        </w:rPr>
        <w:t xml:space="preserve">   </w:t>
      </w:r>
      <w:r>
        <w:rPr>
          <w:rFonts w:ascii="宋体"/>
          <w:color w:val="auto"/>
          <w:sz w:val="22"/>
          <w:szCs w:val="22"/>
          <w:highlight w:val="none"/>
        </w:rPr>
        <w:t xml:space="preserve">日  </w:t>
      </w:r>
    </w:p>
    <w:p w14:paraId="3ECCD9CA">
      <w:pPr>
        <w:snapToGrid w:val="0"/>
        <w:rPr>
          <w:rFonts w:ascii="宋体"/>
          <w:color w:val="auto"/>
          <w:sz w:val="22"/>
          <w:szCs w:val="22"/>
          <w:highlight w:val="none"/>
        </w:rPr>
      </w:pPr>
      <w:r>
        <w:rPr>
          <w:rFonts w:ascii="宋体"/>
          <w:color w:val="auto"/>
          <w:sz w:val="22"/>
          <w:szCs w:val="22"/>
          <w:highlight w:val="none"/>
        </w:rPr>
        <w:t xml:space="preserve"> </w:t>
      </w:r>
    </w:p>
    <w:p w14:paraId="3208DD6B">
      <w:pPr>
        <w:snapToGrid w:val="0"/>
        <w:rPr>
          <w:rFonts w:ascii="宋体"/>
          <w:color w:val="auto"/>
          <w:sz w:val="22"/>
          <w:szCs w:val="22"/>
          <w:highlight w:val="none"/>
        </w:rPr>
      </w:pPr>
    </w:p>
    <w:p w14:paraId="632628D8">
      <w:pPr>
        <w:pStyle w:val="18"/>
        <w:snapToGrid w:val="0"/>
        <w:spacing w:line="400" w:lineRule="exact"/>
        <w:jc w:val="center"/>
        <w:rPr>
          <w:rFonts w:ascii="宋体"/>
          <w:bCs w:val="0"/>
          <w:color w:val="auto"/>
          <w:kern w:val="0"/>
          <w:highlight w:val="none"/>
        </w:rPr>
      </w:pPr>
      <w:r>
        <w:rPr>
          <w:rFonts w:ascii="宋体"/>
          <w:bCs w:val="0"/>
          <w:color w:val="auto"/>
          <w:kern w:val="0"/>
          <w:highlight w:val="none"/>
        </w:rPr>
        <w:br w:type="page"/>
      </w:r>
    </w:p>
    <w:p w14:paraId="66E525C3">
      <w:pPr>
        <w:pStyle w:val="18"/>
        <w:snapToGrid w:val="0"/>
        <w:spacing w:line="400" w:lineRule="exact"/>
        <w:jc w:val="center"/>
        <w:rPr>
          <w:rFonts w:ascii="宋体"/>
          <w:bCs w:val="0"/>
          <w:color w:val="auto"/>
          <w:kern w:val="0"/>
          <w:highlight w:val="none"/>
        </w:rPr>
      </w:pPr>
      <w:r>
        <w:rPr>
          <w:rFonts w:ascii="宋体"/>
          <w:bCs w:val="0"/>
          <w:color w:val="auto"/>
          <w:kern w:val="0"/>
          <w:highlight w:val="none"/>
        </w:rPr>
        <w:t>（</w:t>
      </w:r>
      <w:r>
        <w:rPr>
          <w:rFonts w:hint="eastAsia" w:ascii="宋体"/>
          <w:bCs w:val="0"/>
          <w:color w:val="auto"/>
          <w:kern w:val="0"/>
          <w:highlight w:val="none"/>
        </w:rPr>
        <w:t>四</w:t>
      </w:r>
      <w:r>
        <w:rPr>
          <w:rFonts w:ascii="宋体"/>
          <w:bCs w:val="0"/>
          <w:color w:val="auto"/>
          <w:kern w:val="0"/>
          <w:highlight w:val="none"/>
        </w:rPr>
        <w:t>）竞选人基本情况表</w:t>
      </w:r>
    </w:p>
    <w:tbl>
      <w:tblPr>
        <w:tblStyle w:val="14"/>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366"/>
        <w:gridCol w:w="1117"/>
        <w:gridCol w:w="1392"/>
        <w:gridCol w:w="529"/>
        <w:gridCol w:w="925"/>
        <w:gridCol w:w="1311"/>
      </w:tblGrid>
      <w:tr w14:paraId="2768CE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8" w:space="0"/>
              <w:left w:val="single" w:color="000000" w:sz="8" w:space="0"/>
              <w:bottom w:val="single" w:color="000000" w:sz="4" w:space="0"/>
              <w:right w:val="single" w:color="000000" w:sz="4" w:space="0"/>
            </w:tcBorders>
            <w:vAlign w:val="center"/>
          </w:tcPr>
          <w:p w14:paraId="6FE40AE5">
            <w:pPr>
              <w:snapToGrid w:val="0"/>
              <w:jc w:val="center"/>
              <w:rPr>
                <w:rFonts w:ascii="宋体"/>
                <w:color w:val="auto"/>
                <w:sz w:val="22"/>
                <w:szCs w:val="22"/>
                <w:highlight w:val="none"/>
              </w:rPr>
            </w:pPr>
            <w:r>
              <w:rPr>
                <w:rFonts w:ascii="宋体"/>
                <w:color w:val="auto"/>
                <w:sz w:val="22"/>
                <w:szCs w:val="22"/>
                <w:highlight w:val="none"/>
              </w:rPr>
              <w:t>竞选人名称</w:t>
            </w:r>
          </w:p>
        </w:tc>
        <w:tc>
          <w:tcPr>
            <w:tcW w:w="7607" w:type="dxa"/>
            <w:gridSpan w:val="7"/>
            <w:tcBorders>
              <w:top w:val="single" w:color="000000" w:sz="8" w:space="0"/>
              <w:left w:val="single" w:color="000000" w:sz="4" w:space="0"/>
              <w:bottom w:val="single" w:color="000000" w:sz="4" w:space="0"/>
              <w:right w:val="single" w:color="000000" w:sz="8" w:space="0"/>
            </w:tcBorders>
            <w:vAlign w:val="center"/>
          </w:tcPr>
          <w:p w14:paraId="21B6B826">
            <w:pPr>
              <w:snapToGrid w:val="0"/>
              <w:jc w:val="center"/>
              <w:rPr>
                <w:rFonts w:ascii="宋体"/>
                <w:color w:val="auto"/>
                <w:sz w:val="22"/>
                <w:szCs w:val="22"/>
                <w:highlight w:val="none"/>
              </w:rPr>
            </w:pPr>
          </w:p>
        </w:tc>
      </w:tr>
      <w:tr w14:paraId="6F42F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0A1E905A">
            <w:pPr>
              <w:snapToGrid w:val="0"/>
              <w:jc w:val="center"/>
              <w:rPr>
                <w:rFonts w:ascii="宋体"/>
                <w:color w:val="auto"/>
                <w:sz w:val="22"/>
                <w:szCs w:val="22"/>
                <w:highlight w:val="none"/>
              </w:rPr>
            </w:pPr>
            <w:r>
              <w:rPr>
                <w:rFonts w:ascii="宋体"/>
                <w:color w:val="auto"/>
                <w:sz w:val="22"/>
                <w:szCs w:val="22"/>
                <w:highlight w:val="none"/>
              </w:rPr>
              <w:t>注册地址</w:t>
            </w:r>
          </w:p>
        </w:tc>
        <w:tc>
          <w:tcPr>
            <w:tcW w:w="3450" w:type="dxa"/>
            <w:gridSpan w:val="3"/>
            <w:tcBorders>
              <w:top w:val="single" w:color="000000" w:sz="4" w:space="0"/>
              <w:left w:val="single" w:color="000000" w:sz="4" w:space="0"/>
              <w:bottom w:val="single" w:color="000000" w:sz="4" w:space="0"/>
              <w:right w:val="single" w:color="000000" w:sz="4" w:space="0"/>
            </w:tcBorders>
            <w:vAlign w:val="center"/>
          </w:tcPr>
          <w:p w14:paraId="1E12736C">
            <w:pPr>
              <w:snapToGrid w:val="0"/>
              <w:jc w:val="center"/>
              <w:rPr>
                <w:rFonts w:ascii="宋体"/>
                <w:color w:val="auto"/>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25FCC6F8">
            <w:pPr>
              <w:snapToGrid w:val="0"/>
              <w:spacing w:line="600" w:lineRule="exact"/>
              <w:jc w:val="center"/>
              <w:rPr>
                <w:rFonts w:ascii="宋体"/>
                <w:color w:val="auto"/>
                <w:sz w:val="22"/>
                <w:szCs w:val="22"/>
                <w:highlight w:val="none"/>
              </w:rPr>
            </w:pPr>
            <w:r>
              <w:rPr>
                <w:rFonts w:ascii="宋体"/>
                <w:color w:val="auto"/>
                <w:sz w:val="22"/>
                <w:szCs w:val="22"/>
                <w:highlight w:val="none"/>
              </w:rPr>
              <w:t>邮政编码</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0AA9031A">
            <w:pPr>
              <w:snapToGrid w:val="0"/>
              <w:jc w:val="center"/>
              <w:rPr>
                <w:rFonts w:ascii="宋体"/>
                <w:color w:val="auto"/>
                <w:sz w:val="22"/>
                <w:szCs w:val="22"/>
                <w:highlight w:val="none"/>
              </w:rPr>
            </w:pPr>
          </w:p>
        </w:tc>
      </w:tr>
      <w:tr w14:paraId="2F954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vMerge w:val="restart"/>
            <w:tcBorders>
              <w:top w:val="single" w:color="000000" w:sz="4" w:space="0"/>
              <w:left w:val="single" w:color="000000" w:sz="8" w:space="0"/>
              <w:bottom w:val="single" w:color="000000" w:sz="4" w:space="0"/>
              <w:right w:val="single" w:color="000000" w:sz="4" w:space="0"/>
            </w:tcBorders>
            <w:vAlign w:val="center"/>
          </w:tcPr>
          <w:p w14:paraId="2B629F7D">
            <w:pPr>
              <w:snapToGrid w:val="0"/>
              <w:jc w:val="center"/>
              <w:rPr>
                <w:rFonts w:ascii="宋体"/>
                <w:color w:val="auto"/>
                <w:sz w:val="22"/>
                <w:szCs w:val="22"/>
                <w:highlight w:val="none"/>
              </w:rPr>
            </w:pPr>
            <w:r>
              <w:rPr>
                <w:rFonts w:ascii="宋体"/>
                <w:color w:val="auto"/>
                <w:sz w:val="22"/>
                <w:szCs w:val="22"/>
                <w:highlight w:val="none"/>
              </w:rPr>
              <w:t>联系方式</w:t>
            </w:r>
          </w:p>
        </w:tc>
        <w:tc>
          <w:tcPr>
            <w:tcW w:w="967" w:type="dxa"/>
            <w:tcBorders>
              <w:top w:val="single" w:color="000000" w:sz="4" w:space="0"/>
              <w:left w:val="single" w:color="000000" w:sz="4" w:space="0"/>
              <w:bottom w:val="single" w:color="000000" w:sz="4" w:space="0"/>
              <w:right w:val="single" w:color="000000" w:sz="4" w:space="0"/>
            </w:tcBorders>
            <w:vAlign w:val="center"/>
          </w:tcPr>
          <w:p w14:paraId="7BC432AB">
            <w:pPr>
              <w:snapToGrid w:val="0"/>
              <w:spacing w:line="600" w:lineRule="exact"/>
              <w:jc w:val="center"/>
              <w:rPr>
                <w:rFonts w:ascii="宋体"/>
                <w:color w:val="auto"/>
                <w:sz w:val="22"/>
                <w:szCs w:val="22"/>
                <w:highlight w:val="none"/>
              </w:rPr>
            </w:pPr>
            <w:r>
              <w:rPr>
                <w:rFonts w:ascii="宋体"/>
                <w:color w:val="auto"/>
                <w:sz w:val="22"/>
                <w:szCs w:val="22"/>
                <w:highlight w:val="none"/>
              </w:rPr>
              <w:t>联系人</w:t>
            </w:r>
          </w:p>
        </w:tc>
        <w:tc>
          <w:tcPr>
            <w:tcW w:w="2483" w:type="dxa"/>
            <w:gridSpan w:val="2"/>
            <w:tcBorders>
              <w:top w:val="single" w:color="000000" w:sz="4" w:space="0"/>
              <w:left w:val="single" w:color="000000" w:sz="4" w:space="0"/>
              <w:bottom w:val="single" w:color="000000" w:sz="4" w:space="0"/>
              <w:right w:val="single" w:color="000000" w:sz="4" w:space="0"/>
            </w:tcBorders>
            <w:vAlign w:val="center"/>
          </w:tcPr>
          <w:p w14:paraId="202654D0">
            <w:pPr>
              <w:snapToGrid w:val="0"/>
              <w:jc w:val="center"/>
              <w:rPr>
                <w:rFonts w:ascii="宋体"/>
                <w:color w:val="auto"/>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2A83A76F">
            <w:pPr>
              <w:snapToGrid w:val="0"/>
              <w:spacing w:line="600" w:lineRule="exact"/>
              <w:jc w:val="center"/>
              <w:rPr>
                <w:rFonts w:ascii="宋体"/>
                <w:color w:val="auto"/>
                <w:sz w:val="22"/>
                <w:szCs w:val="22"/>
                <w:highlight w:val="none"/>
              </w:rPr>
            </w:pPr>
            <w:r>
              <w:rPr>
                <w:rFonts w:ascii="宋体"/>
                <w:color w:val="auto"/>
                <w:sz w:val="22"/>
                <w:szCs w:val="22"/>
                <w:highlight w:val="none"/>
              </w:rPr>
              <w:t>电话</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16CAA533">
            <w:pPr>
              <w:snapToGrid w:val="0"/>
              <w:jc w:val="center"/>
              <w:rPr>
                <w:rFonts w:ascii="宋体"/>
                <w:color w:val="auto"/>
                <w:sz w:val="22"/>
                <w:szCs w:val="22"/>
                <w:highlight w:val="none"/>
              </w:rPr>
            </w:pPr>
          </w:p>
        </w:tc>
      </w:tr>
      <w:tr w14:paraId="19FF7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vMerge w:val="continue"/>
            <w:tcBorders>
              <w:top w:val="single" w:color="000000" w:sz="4" w:space="0"/>
              <w:left w:val="single" w:color="000000" w:sz="8" w:space="0"/>
              <w:bottom w:val="single" w:color="000000" w:sz="4" w:space="0"/>
              <w:right w:val="single" w:color="000000" w:sz="4" w:space="0"/>
            </w:tcBorders>
            <w:vAlign w:val="center"/>
          </w:tcPr>
          <w:p w14:paraId="2E4913DB">
            <w:pPr>
              <w:rPr>
                <w:color w:val="auto"/>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12EE11E">
            <w:pPr>
              <w:snapToGrid w:val="0"/>
              <w:spacing w:line="600" w:lineRule="exact"/>
              <w:jc w:val="center"/>
              <w:rPr>
                <w:rFonts w:ascii="宋体"/>
                <w:color w:val="auto"/>
                <w:sz w:val="22"/>
                <w:szCs w:val="22"/>
                <w:highlight w:val="none"/>
              </w:rPr>
            </w:pPr>
            <w:r>
              <w:rPr>
                <w:rFonts w:ascii="宋体"/>
                <w:color w:val="auto"/>
                <w:sz w:val="22"/>
                <w:szCs w:val="22"/>
                <w:highlight w:val="none"/>
              </w:rPr>
              <w:t>传真</w:t>
            </w:r>
          </w:p>
        </w:tc>
        <w:tc>
          <w:tcPr>
            <w:tcW w:w="2483" w:type="dxa"/>
            <w:gridSpan w:val="2"/>
            <w:tcBorders>
              <w:top w:val="single" w:color="000000" w:sz="4" w:space="0"/>
              <w:left w:val="single" w:color="000000" w:sz="4" w:space="0"/>
              <w:bottom w:val="single" w:color="000000" w:sz="4" w:space="0"/>
              <w:right w:val="single" w:color="000000" w:sz="4" w:space="0"/>
            </w:tcBorders>
            <w:vAlign w:val="center"/>
          </w:tcPr>
          <w:p w14:paraId="518245EA">
            <w:pPr>
              <w:snapToGrid w:val="0"/>
              <w:jc w:val="center"/>
              <w:rPr>
                <w:rFonts w:ascii="宋体"/>
                <w:color w:val="auto"/>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BEC6630">
            <w:pPr>
              <w:snapToGrid w:val="0"/>
              <w:spacing w:line="600" w:lineRule="exact"/>
              <w:jc w:val="center"/>
              <w:rPr>
                <w:rFonts w:ascii="宋体"/>
                <w:color w:val="auto"/>
                <w:sz w:val="22"/>
                <w:szCs w:val="22"/>
                <w:highlight w:val="none"/>
              </w:rPr>
            </w:pPr>
            <w:r>
              <w:rPr>
                <w:rFonts w:ascii="宋体"/>
                <w:color w:val="auto"/>
                <w:sz w:val="22"/>
                <w:szCs w:val="22"/>
                <w:highlight w:val="none"/>
              </w:rPr>
              <w:t>网址</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74BF0C05">
            <w:pPr>
              <w:snapToGrid w:val="0"/>
              <w:jc w:val="center"/>
              <w:rPr>
                <w:rFonts w:ascii="宋体"/>
                <w:color w:val="auto"/>
                <w:sz w:val="22"/>
                <w:szCs w:val="22"/>
                <w:highlight w:val="none"/>
              </w:rPr>
            </w:pPr>
          </w:p>
        </w:tc>
      </w:tr>
      <w:tr w14:paraId="61C718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4470BD2A">
            <w:pPr>
              <w:snapToGrid w:val="0"/>
              <w:spacing w:line="600" w:lineRule="exact"/>
              <w:jc w:val="center"/>
              <w:rPr>
                <w:rFonts w:ascii="宋体"/>
                <w:color w:val="auto"/>
                <w:sz w:val="22"/>
                <w:szCs w:val="22"/>
                <w:highlight w:val="none"/>
              </w:rPr>
            </w:pPr>
            <w:r>
              <w:rPr>
                <w:rFonts w:ascii="宋体"/>
                <w:color w:val="auto"/>
                <w:sz w:val="22"/>
                <w:szCs w:val="22"/>
                <w:highlight w:val="none"/>
              </w:rPr>
              <w:t>组织结构</w:t>
            </w:r>
          </w:p>
        </w:tc>
        <w:tc>
          <w:tcPr>
            <w:tcW w:w="7607" w:type="dxa"/>
            <w:gridSpan w:val="7"/>
            <w:tcBorders>
              <w:top w:val="single" w:color="000000" w:sz="4" w:space="0"/>
              <w:left w:val="single" w:color="000000" w:sz="4" w:space="0"/>
              <w:bottom w:val="single" w:color="000000" w:sz="4" w:space="0"/>
              <w:right w:val="single" w:color="000000" w:sz="8" w:space="0"/>
            </w:tcBorders>
            <w:vAlign w:val="center"/>
          </w:tcPr>
          <w:p w14:paraId="6FFB1C24">
            <w:pPr>
              <w:snapToGrid w:val="0"/>
              <w:jc w:val="center"/>
              <w:rPr>
                <w:rFonts w:ascii="宋体"/>
                <w:color w:val="auto"/>
                <w:sz w:val="22"/>
                <w:szCs w:val="22"/>
                <w:highlight w:val="none"/>
              </w:rPr>
            </w:pPr>
          </w:p>
        </w:tc>
      </w:tr>
      <w:tr w14:paraId="7074E8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5B47A452">
            <w:pPr>
              <w:snapToGrid w:val="0"/>
              <w:spacing w:line="600" w:lineRule="exact"/>
              <w:jc w:val="center"/>
              <w:rPr>
                <w:rFonts w:ascii="宋体"/>
                <w:color w:val="auto"/>
                <w:sz w:val="22"/>
                <w:szCs w:val="22"/>
                <w:highlight w:val="none"/>
              </w:rPr>
            </w:pPr>
            <w:r>
              <w:rPr>
                <w:rFonts w:ascii="宋体"/>
                <w:color w:val="auto"/>
                <w:sz w:val="22"/>
                <w:szCs w:val="22"/>
                <w:highlight w:val="none"/>
              </w:rPr>
              <w:t>法定代表人</w:t>
            </w:r>
          </w:p>
        </w:tc>
        <w:tc>
          <w:tcPr>
            <w:tcW w:w="967" w:type="dxa"/>
            <w:tcBorders>
              <w:top w:val="single" w:color="000000" w:sz="4" w:space="0"/>
              <w:left w:val="single" w:color="000000" w:sz="4" w:space="0"/>
              <w:bottom w:val="single" w:color="000000" w:sz="4" w:space="0"/>
              <w:right w:val="single" w:color="000000" w:sz="4" w:space="0"/>
            </w:tcBorders>
            <w:vAlign w:val="center"/>
          </w:tcPr>
          <w:p w14:paraId="059802ED">
            <w:pPr>
              <w:snapToGrid w:val="0"/>
              <w:spacing w:line="600" w:lineRule="exact"/>
              <w:jc w:val="center"/>
              <w:rPr>
                <w:rFonts w:ascii="宋体"/>
                <w:color w:val="auto"/>
                <w:sz w:val="22"/>
                <w:szCs w:val="22"/>
                <w:highlight w:val="none"/>
              </w:rPr>
            </w:pPr>
            <w:r>
              <w:rPr>
                <w:rFonts w:ascii="宋体"/>
                <w:color w:val="auto"/>
                <w:sz w:val="22"/>
                <w:szCs w:val="22"/>
                <w:highlight w:val="none"/>
              </w:rPr>
              <w:t>姓名</w:t>
            </w:r>
          </w:p>
        </w:tc>
        <w:tc>
          <w:tcPr>
            <w:tcW w:w="1366" w:type="dxa"/>
            <w:tcBorders>
              <w:top w:val="single" w:color="000000" w:sz="4" w:space="0"/>
              <w:left w:val="single" w:color="000000" w:sz="4" w:space="0"/>
              <w:bottom w:val="single" w:color="000000" w:sz="4" w:space="0"/>
              <w:right w:val="single" w:color="000000" w:sz="4" w:space="0"/>
            </w:tcBorders>
            <w:vAlign w:val="center"/>
          </w:tcPr>
          <w:p w14:paraId="12659C03">
            <w:pPr>
              <w:snapToGrid w:val="0"/>
              <w:jc w:val="center"/>
              <w:rPr>
                <w:rFonts w:ascii="宋体"/>
                <w:color w:val="auto"/>
                <w:sz w:val="22"/>
                <w:szCs w:val="22"/>
                <w:highlight w:val="none"/>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168D33A5">
            <w:pPr>
              <w:snapToGrid w:val="0"/>
              <w:spacing w:line="600" w:lineRule="exact"/>
              <w:jc w:val="center"/>
              <w:rPr>
                <w:rFonts w:ascii="宋体"/>
                <w:color w:val="auto"/>
                <w:sz w:val="22"/>
                <w:szCs w:val="22"/>
                <w:highlight w:val="none"/>
              </w:rPr>
            </w:pPr>
            <w:r>
              <w:rPr>
                <w:rFonts w:ascii="宋体"/>
                <w:color w:val="auto"/>
                <w:sz w:val="22"/>
                <w:szCs w:val="22"/>
                <w:highlight w:val="none"/>
              </w:rPr>
              <w:t>技术职称</w:t>
            </w: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58D06CBE">
            <w:pPr>
              <w:snapToGrid w:val="0"/>
              <w:jc w:val="center"/>
              <w:rPr>
                <w:rFonts w:ascii="宋体"/>
                <w:color w:val="auto"/>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59E4F22">
            <w:pPr>
              <w:snapToGrid w:val="0"/>
              <w:spacing w:line="600" w:lineRule="exact"/>
              <w:jc w:val="center"/>
              <w:rPr>
                <w:rFonts w:ascii="宋体"/>
                <w:color w:val="auto"/>
                <w:sz w:val="22"/>
                <w:szCs w:val="22"/>
                <w:highlight w:val="none"/>
              </w:rPr>
            </w:pPr>
            <w:r>
              <w:rPr>
                <w:rFonts w:ascii="宋体"/>
                <w:color w:val="auto"/>
                <w:sz w:val="22"/>
                <w:szCs w:val="22"/>
                <w:highlight w:val="none"/>
              </w:rPr>
              <w:t>电话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5A2B9841">
            <w:pPr>
              <w:snapToGrid w:val="0"/>
              <w:jc w:val="center"/>
              <w:rPr>
                <w:rFonts w:ascii="宋体"/>
                <w:color w:val="auto"/>
                <w:sz w:val="22"/>
                <w:szCs w:val="22"/>
                <w:highlight w:val="none"/>
              </w:rPr>
            </w:pPr>
          </w:p>
        </w:tc>
      </w:tr>
      <w:tr w14:paraId="133E96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14DCCFFC">
            <w:pPr>
              <w:snapToGrid w:val="0"/>
              <w:jc w:val="center"/>
              <w:rPr>
                <w:rFonts w:ascii="宋体"/>
                <w:color w:val="auto"/>
                <w:sz w:val="22"/>
                <w:szCs w:val="22"/>
                <w:highlight w:val="none"/>
              </w:rPr>
            </w:pPr>
            <w:r>
              <w:rPr>
                <w:rFonts w:ascii="宋体"/>
                <w:color w:val="auto"/>
                <w:sz w:val="22"/>
                <w:szCs w:val="22"/>
                <w:highlight w:val="none"/>
              </w:rPr>
              <w:t>技术负责人</w:t>
            </w:r>
          </w:p>
        </w:tc>
        <w:tc>
          <w:tcPr>
            <w:tcW w:w="967" w:type="dxa"/>
            <w:tcBorders>
              <w:top w:val="single" w:color="000000" w:sz="4" w:space="0"/>
              <w:left w:val="single" w:color="000000" w:sz="4" w:space="0"/>
              <w:bottom w:val="single" w:color="000000" w:sz="4" w:space="0"/>
              <w:right w:val="single" w:color="000000" w:sz="4" w:space="0"/>
            </w:tcBorders>
            <w:vAlign w:val="center"/>
          </w:tcPr>
          <w:p w14:paraId="36B8D6D4">
            <w:pPr>
              <w:snapToGrid w:val="0"/>
              <w:spacing w:line="600" w:lineRule="exact"/>
              <w:jc w:val="center"/>
              <w:rPr>
                <w:rFonts w:ascii="宋体"/>
                <w:color w:val="auto"/>
                <w:sz w:val="22"/>
                <w:szCs w:val="22"/>
                <w:highlight w:val="none"/>
              </w:rPr>
            </w:pPr>
            <w:r>
              <w:rPr>
                <w:rFonts w:ascii="宋体"/>
                <w:color w:val="auto"/>
                <w:sz w:val="22"/>
                <w:szCs w:val="22"/>
                <w:highlight w:val="none"/>
              </w:rPr>
              <w:t>姓名</w:t>
            </w:r>
          </w:p>
        </w:tc>
        <w:tc>
          <w:tcPr>
            <w:tcW w:w="1366" w:type="dxa"/>
            <w:tcBorders>
              <w:top w:val="single" w:color="000000" w:sz="4" w:space="0"/>
              <w:left w:val="single" w:color="000000" w:sz="4" w:space="0"/>
              <w:bottom w:val="single" w:color="000000" w:sz="4" w:space="0"/>
              <w:right w:val="single" w:color="000000" w:sz="4" w:space="0"/>
            </w:tcBorders>
            <w:vAlign w:val="center"/>
          </w:tcPr>
          <w:p w14:paraId="58F21A3E">
            <w:pPr>
              <w:snapToGrid w:val="0"/>
              <w:jc w:val="center"/>
              <w:rPr>
                <w:rFonts w:ascii="宋体"/>
                <w:color w:val="auto"/>
                <w:sz w:val="22"/>
                <w:szCs w:val="22"/>
                <w:highlight w:val="none"/>
              </w:rPr>
            </w:pPr>
          </w:p>
        </w:tc>
        <w:tc>
          <w:tcPr>
            <w:tcW w:w="1117" w:type="dxa"/>
            <w:tcBorders>
              <w:top w:val="single" w:color="000000" w:sz="4" w:space="0"/>
              <w:left w:val="single" w:color="000000" w:sz="4" w:space="0"/>
              <w:bottom w:val="single" w:color="000000" w:sz="4" w:space="0"/>
              <w:right w:val="single" w:color="000000" w:sz="4" w:space="0"/>
            </w:tcBorders>
            <w:vAlign w:val="center"/>
          </w:tcPr>
          <w:p w14:paraId="34F67B1B">
            <w:pPr>
              <w:snapToGrid w:val="0"/>
              <w:spacing w:line="600" w:lineRule="exact"/>
              <w:jc w:val="center"/>
              <w:rPr>
                <w:rFonts w:ascii="宋体"/>
                <w:color w:val="auto"/>
                <w:sz w:val="22"/>
                <w:szCs w:val="22"/>
                <w:highlight w:val="none"/>
              </w:rPr>
            </w:pPr>
            <w:r>
              <w:rPr>
                <w:rFonts w:ascii="宋体"/>
                <w:color w:val="auto"/>
                <w:sz w:val="22"/>
                <w:szCs w:val="22"/>
                <w:highlight w:val="none"/>
              </w:rPr>
              <w:t>技术职称</w:t>
            </w: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53BED946">
            <w:pPr>
              <w:snapToGrid w:val="0"/>
              <w:jc w:val="center"/>
              <w:rPr>
                <w:rFonts w:ascii="宋体"/>
                <w:color w:val="auto"/>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9041BF1">
            <w:pPr>
              <w:snapToGrid w:val="0"/>
              <w:spacing w:line="600" w:lineRule="exact"/>
              <w:jc w:val="center"/>
              <w:rPr>
                <w:rFonts w:ascii="宋体"/>
                <w:color w:val="auto"/>
                <w:sz w:val="22"/>
                <w:szCs w:val="22"/>
                <w:highlight w:val="none"/>
              </w:rPr>
            </w:pPr>
            <w:r>
              <w:rPr>
                <w:rFonts w:ascii="宋体"/>
                <w:color w:val="auto"/>
                <w:sz w:val="22"/>
                <w:szCs w:val="22"/>
                <w:highlight w:val="none"/>
              </w:rPr>
              <w:t>电话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00BCCBB7">
            <w:pPr>
              <w:snapToGrid w:val="0"/>
              <w:jc w:val="center"/>
              <w:rPr>
                <w:rFonts w:ascii="宋体"/>
                <w:color w:val="auto"/>
                <w:sz w:val="22"/>
                <w:szCs w:val="22"/>
                <w:highlight w:val="none"/>
              </w:rPr>
            </w:pPr>
          </w:p>
        </w:tc>
      </w:tr>
      <w:tr w14:paraId="1CB12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7A360713">
            <w:pPr>
              <w:snapToGrid w:val="0"/>
              <w:spacing w:line="600" w:lineRule="exact"/>
              <w:jc w:val="center"/>
              <w:rPr>
                <w:rFonts w:ascii="宋体"/>
                <w:color w:val="auto"/>
                <w:sz w:val="22"/>
                <w:szCs w:val="22"/>
                <w:highlight w:val="none"/>
              </w:rPr>
            </w:pPr>
            <w:r>
              <w:rPr>
                <w:rFonts w:ascii="宋体"/>
                <w:color w:val="auto"/>
                <w:sz w:val="22"/>
                <w:szCs w:val="22"/>
                <w:highlight w:val="none"/>
              </w:rPr>
              <w:t>成立时间</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14943A1B">
            <w:pPr>
              <w:snapToGrid w:val="0"/>
              <w:jc w:val="center"/>
              <w:rPr>
                <w:rFonts w:ascii="宋体"/>
                <w:color w:val="auto"/>
                <w:sz w:val="22"/>
                <w:szCs w:val="22"/>
                <w:highlight w:val="none"/>
              </w:rPr>
            </w:pPr>
          </w:p>
        </w:tc>
        <w:tc>
          <w:tcPr>
            <w:tcW w:w="5274" w:type="dxa"/>
            <w:gridSpan w:val="5"/>
            <w:tcBorders>
              <w:top w:val="single" w:color="000000" w:sz="4" w:space="0"/>
              <w:left w:val="single" w:color="000000" w:sz="4" w:space="0"/>
              <w:bottom w:val="single" w:color="000000" w:sz="4" w:space="0"/>
              <w:right w:val="single" w:color="000000" w:sz="8" w:space="0"/>
            </w:tcBorders>
            <w:vAlign w:val="center"/>
          </w:tcPr>
          <w:p w14:paraId="1F9D4FD0">
            <w:pPr>
              <w:snapToGrid w:val="0"/>
              <w:spacing w:line="600" w:lineRule="exact"/>
              <w:ind w:firstLine="567"/>
              <w:jc w:val="center"/>
              <w:rPr>
                <w:rFonts w:ascii="宋体"/>
                <w:color w:val="auto"/>
                <w:sz w:val="22"/>
                <w:szCs w:val="22"/>
                <w:highlight w:val="none"/>
              </w:rPr>
            </w:pPr>
            <w:r>
              <w:rPr>
                <w:rFonts w:ascii="宋体"/>
                <w:color w:val="auto"/>
                <w:sz w:val="22"/>
                <w:szCs w:val="22"/>
                <w:highlight w:val="none"/>
              </w:rPr>
              <w:t>员工总人数：</w:t>
            </w:r>
          </w:p>
        </w:tc>
      </w:tr>
      <w:tr w14:paraId="399E8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4EC93D3F">
            <w:pPr>
              <w:snapToGrid w:val="0"/>
              <w:spacing w:line="600" w:lineRule="exact"/>
              <w:jc w:val="center"/>
              <w:rPr>
                <w:rFonts w:ascii="宋体"/>
                <w:color w:val="auto"/>
                <w:sz w:val="22"/>
                <w:szCs w:val="22"/>
                <w:highlight w:val="none"/>
              </w:rPr>
            </w:pPr>
            <w:r>
              <w:rPr>
                <w:rFonts w:ascii="宋体"/>
                <w:color w:val="auto"/>
                <w:sz w:val="22"/>
                <w:szCs w:val="22"/>
                <w:highlight w:val="none"/>
              </w:rPr>
              <w:t>企业资质等级</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63F6E409">
            <w:pPr>
              <w:snapToGrid w:val="0"/>
              <w:jc w:val="center"/>
              <w:rPr>
                <w:rFonts w:ascii="宋体"/>
                <w:color w:val="auto"/>
                <w:sz w:val="22"/>
                <w:szCs w:val="22"/>
                <w:highlight w:val="none"/>
              </w:rPr>
            </w:pP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390ED7CB">
            <w:pPr>
              <w:snapToGrid w:val="0"/>
              <w:spacing w:line="600" w:lineRule="exact"/>
              <w:jc w:val="center"/>
              <w:rPr>
                <w:rFonts w:ascii="宋体"/>
                <w:color w:val="auto"/>
                <w:sz w:val="22"/>
                <w:szCs w:val="22"/>
                <w:highlight w:val="none"/>
              </w:rPr>
            </w:pPr>
            <w:r>
              <w:rPr>
                <w:rFonts w:ascii="宋体"/>
                <w:color w:val="auto"/>
                <w:sz w:val="22"/>
                <w:szCs w:val="22"/>
                <w:highlight w:val="none"/>
              </w:rPr>
              <w:t>其中</w:t>
            </w: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138AF0EC">
            <w:pPr>
              <w:snapToGrid w:val="0"/>
              <w:spacing w:line="600" w:lineRule="exact"/>
              <w:jc w:val="center"/>
              <w:rPr>
                <w:rFonts w:ascii="宋体"/>
                <w:color w:val="auto"/>
                <w:sz w:val="22"/>
                <w:szCs w:val="22"/>
                <w:highlight w:val="none"/>
              </w:rPr>
            </w:pPr>
            <w:r>
              <w:rPr>
                <w:rFonts w:ascii="宋体"/>
                <w:color w:val="auto"/>
                <w:sz w:val="22"/>
                <w:szCs w:val="22"/>
                <w:highlight w:val="none"/>
              </w:rPr>
              <w:t>项目负责人</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391D8D3B">
            <w:pPr>
              <w:snapToGrid w:val="0"/>
              <w:jc w:val="center"/>
              <w:rPr>
                <w:rFonts w:ascii="宋体"/>
                <w:color w:val="auto"/>
                <w:sz w:val="22"/>
                <w:szCs w:val="22"/>
                <w:highlight w:val="none"/>
              </w:rPr>
            </w:pPr>
          </w:p>
        </w:tc>
      </w:tr>
      <w:tr w14:paraId="338A58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2E31957F">
            <w:pPr>
              <w:snapToGrid w:val="0"/>
              <w:spacing w:line="600" w:lineRule="exact"/>
              <w:jc w:val="center"/>
              <w:rPr>
                <w:rFonts w:ascii="宋体"/>
                <w:color w:val="auto"/>
                <w:sz w:val="22"/>
                <w:szCs w:val="22"/>
                <w:highlight w:val="none"/>
              </w:rPr>
            </w:pPr>
            <w:r>
              <w:rPr>
                <w:rFonts w:ascii="宋体"/>
                <w:color w:val="auto"/>
                <w:sz w:val="22"/>
                <w:szCs w:val="22"/>
                <w:highlight w:val="none"/>
              </w:rPr>
              <w:t>营业执照号</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3372AF78">
            <w:pPr>
              <w:snapToGrid w:val="0"/>
              <w:jc w:val="center"/>
              <w:rPr>
                <w:rFonts w:ascii="宋体"/>
                <w:color w:val="auto"/>
                <w:sz w:val="22"/>
                <w:szCs w:val="22"/>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9F54E19">
            <w:pPr>
              <w:rPr>
                <w:color w:val="auto"/>
                <w:highlight w:val="none"/>
              </w:rPr>
            </w:pP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1D07494E">
            <w:pPr>
              <w:snapToGrid w:val="0"/>
              <w:spacing w:line="600" w:lineRule="exact"/>
              <w:jc w:val="center"/>
              <w:rPr>
                <w:rFonts w:ascii="宋体"/>
                <w:color w:val="auto"/>
                <w:sz w:val="22"/>
                <w:szCs w:val="22"/>
                <w:highlight w:val="none"/>
              </w:rPr>
            </w:pPr>
            <w:r>
              <w:rPr>
                <w:rFonts w:ascii="宋体"/>
                <w:color w:val="auto"/>
                <w:sz w:val="22"/>
                <w:szCs w:val="22"/>
                <w:highlight w:val="none"/>
              </w:rPr>
              <w:t>高级职称人员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0FD8C16C">
            <w:pPr>
              <w:snapToGrid w:val="0"/>
              <w:jc w:val="center"/>
              <w:rPr>
                <w:rFonts w:ascii="宋体"/>
                <w:color w:val="auto"/>
                <w:sz w:val="22"/>
                <w:szCs w:val="22"/>
                <w:highlight w:val="none"/>
              </w:rPr>
            </w:pPr>
          </w:p>
        </w:tc>
      </w:tr>
      <w:tr w14:paraId="573F2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0A11C3D3">
            <w:pPr>
              <w:snapToGrid w:val="0"/>
              <w:spacing w:line="600" w:lineRule="exact"/>
              <w:jc w:val="center"/>
              <w:rPr>
                <w:rFonts w:ascii="宋体"/>
                <w:color w:val="auto"/>
                <w:sz w:val="22"/>
                <w:szCs w:val="22"/>
                <w:highlight w:val="none"/>
              </w:rPr>
            </w:pPr>
            <w:r>
              <w:rPr>
                <w:rFonts w:ascii="宋体"/>
                <w:color w:val="auto"/>
                <w:sz w:val="22"/>
                <w:szCs w:val="22"/>
                <w:highlight w:val="none"/>
              </w:rPr>
              <w:t>注册资金</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10DC6CCB">
            <w:pPr>
              <w:snapToGrid w:val="0"/>
              <w:jc w:val="center"/>
              <w:rPr>
                <w:rFonts w:ascii="宋体"/>
                <w:color w:val="auto"/>
                <w:sz w:val="22"/>
                <w:szCs w:val="22"/>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5A711BC1">
            <w:pPr>
              <w:rPr>
                <w:color w:val="auto"/>
                <w:highlight w:val="none"/>
              </w:rPr>
            </w:pP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2FADB3D8">
            <w:pPr>
              <w:snapToGrid w:val="0"/>
              <w:spacing w:line="600" w:lineRule="exact"/>
              <w:jc w:val="center"/>
              <w:rPr>
                <w:rFonts w:ascii="宋体"/>
                <w:color w:val="auto"/>
                <w:sz w:val="22"/>
                <w:szCs w:val="22"/>
                <w:highlight w:val="none"/>
              </w:rPr>
            </w:pPr>
            <w:r>
              <w:rPr>
                <w:rFonts w:ascii="宋体"/>
                <w:color w:val="auto"/>
                <w:sz w:val="22"/>
                <w:szCs w:val="22"/>
                <w:highlight w:val="none"/>
              </w:rPr>
              <w:t>中级职称人员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4B00F968">
            <w:pPr>
              <w:snapToGrid w:val="0"/>
              <w:jc w:val="center"/>
              <w:rPr>
                <w:rFonts w:ascii="宋体"/>
                <w:color w:val="auto"/>
                <w:sz w:val="22"/>
                <w:szCs w:val="22"/>
                <w:highlight w:val="none"/>
              </w:rPr>
            </w:pPr>
          </w:p>
        </w:tc>
      </w:tr>
      <w:tr w14:paraId="1FD8DC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0FFB4761">
            <w:pPr>
              <w:snapToGrid w:val="0"/>
              <w:spacing w:line="600" w:lineRule="exact"/>
              <w:jc w:val="center"/>
              <w:rPr>
                <w:rFonts w:ascii="宋体"/>
                <w:color w:val="auto"/>
                <w:sz w:val="22"/>
                <w:szCs w:val="22"/>
                <w:highlight w:val="none"/>
              </w:rPr>
            </w:pPr>
            <w:r>
              <w:rPr>
                <w:rFonts w:ascii="宋体"/>
                <w:color w:val="auto"/>
                <w:sz w:val="22"/>
                <w:szCs w:val="22"/>
                <w:highlight w:val="none"/>
              </w:rPr>
              <w:t>开户银行</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5189FD78">
            <w:pPr>
              <w:snapToGrid w:val="0"/>
              <w:jc w:val="center"/>
              <w:rPr>
                <w:rFonts w:ascii="宋体"/>
                <w:color w:val="auto"/>
                <w:sz w:val="22"/>
                <w:szCs w:val="22"/>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0965BD8">
            <w:pPr>
              <w:rPr>
                <w:color w:val="auto"/>
                <w:highlight w:val="none"/>
              </w:rPr>
            </w:pP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6F3BB885">
            <w:pPr>
              <w:snapToGrid w:val="0"/>
              <w:spacing w:line="600" w:lineRule="exact"/>
              <w:jc w:val="center"/>
              <w:rPr>
                <w:rFonts w:ascii="宋体"/>
                <w:color w:val="auto"/>
                <w:sz w:val="22"/>
                <w:szCs w:val="22"/>
                <w:highlight w:val="none"/>
              </w:rPr>
            </w:pPr>
            <w:r>
              <w:rPr>
                <w:rFonts w:ascii="宋体"/>
                <w:color w:val="auto"/>
                <w:sz w:val="22"/>
                <w:szCs w:val="22"/>
                <w:highlight w:val="none"/>
              </w:rPr>
              <w:t>初级职称人员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91F2C2E">
            <w:pPr>
              <w:snapToGrid w:val="0"/>
              <w:jc w:val="center"/>
              <w:rPr>
                <w:rFonts w:ascii="宋体"/>
                <w:color w:val="auto"/>
                <w:sz w:val="22"/>
                <w:szCs w:val="22"/>
                <w:highlight w:val="none"/>
              </w:rPr>
            </w:pPr>
          </w:p>
        </w:tc>
      </w:tr>
      <w:tr w14:paraId="6B05FB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6A0BF8D0">
            <w:pPr>
              <w:snapToGrid w:val="0"/>
              <w:spacing w:line="600" w:lineRule="exact"/>
              <w:jc w:val="center"/>
              <w:rPr>
                <w:rFonts w:ascii="宋体"/>
                <w:color w:val="auto"/>
                <w:sz w:val="22"/>
                <w:szCs w:val="22"/>
                <w:highlight w:val="none"/>
              </w:rPr>
            </w:pPr>
            <w:r>
              <w:rPr>
                <w:rFonts w:ascii="宋体"/>
                <w:color w:val="auto"/>
                <w:sz w:val="22"/>
                <w:szCs w:val="22"/>
                <w:highlight w:val="none"/>
              </w:rPr>
              <w:t>账号</w:t>
            </w:r>
          </w:p>
        </w:tc>
        <w:tc>
          <w:tcPr>
            <w:tcW w:w="2333" w:type="dxa"/>
            <w:gridSpan w:val="2"/>
            <w:tcBorders>
              <w:top w:val="single" w:color="000000" w:sz="4" w:space="0"/>
              <w:left w:val="single" w:color="000000" w:sz="4" w:space="0"/>
              <w:bottom w:val="single" w:color="000000" w:sz="4" w:space="0"/>
              <w:right w:val="single" w:color="000000" w:sz="4" w:space="0"/>
            </w:tcBorders>
            <w:vAlign w:val="center"/>
          </w:tcPr>
          <w:p w14:paraId="126D4EEF">
            <w:pPr>
              <w:snapToGrid w:val="0"/>
              <w:jc w:val="center"/>
              <w:rPr>
                <w:rFonts w:ascii="宋体"/>
                <w:color w:val="auto"/>
                <w:sz w:val="22"/>
                <w:szCs w:val="22"/>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7D3BCCE9">
            <w:pPr>
              <w:rPr>
                <w:color w:val="auto"/>
                <w:highlight w:val="none"/>
              </w:rPr>
            </w:pPr>
          </w:p>
        </w:tc>
        <w:tc>
          <w:tcPr>
            <w:tcW w:w="1921" w:type="dxa"/>
            <w:gridSpan w:val="2"/>
            <w:tcBorders>
              <w:top w:val="single" w:color="000000" w:sz="4" w:space="0"/>
              <w:left w:val="single" w:color="000000" w:sz="4" w:space="0"/>
              <w:bottom w:val="single" w:color="000000" w:sz="4" w:space="0"/>
              <w:right w:val="single" w:color="000000" w:sz="4" w:space="0"/>
            </w:tcBorders>
            <w:vAlign w:val="center"/>
          </w:tcPr>
          <w:p w14:paraId="2CE536D7">
            <w:pPr>
              <w:snapToGrid w:val="0"/>
              <w:spacing w:line="600" w:lineRule="exact"/>
              <w:jc w:val="center"/>
              <w:rPr>
                <w:rFonts w:ascii="宋体"/>
                <w:color w:val="auto"/>
                <w:sz w:val="22"/>
                <w:szCs w:val="22"/>
                <w:highlight w:val="none"/>
              </w:rPr>
            </w:pP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3E8340CF">
            <w:pPr>
              <w:snapToGrid w:val="0"/>
              <w:jc w:val="center"/>
              <w:rPr>
                <w:rFonts w:ascii="宋体"/>
                <w:color w:val="auto"/>
                <w:sz w:val="22"/>
                <w:szCs w:val="22"/>
                <w:highlight w:val="none"/>
              </w:rPr>
            </w:pPr>
          </w:p>
        </w:tc>
      </w:tr>
      <w:tr w14:paraId="0D171D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4" w:space="0"/>
              <w:right w:val="single" w:color="000000" w:sz="4" w:space="0"/>
            </w:tcBorders>
            <w:vAlign w:val="center"/>
          </w:tcPr>
          <w:p w14:paraId="26A0CAF4">
            <w:pPr>
              <w:snapToGrid w:val="0"/>
              <w:spacing w:line="600" w:lineRule="exact"/>
              <w:jc w:val="center"/>
              <w:rPr>
                <w:rFonts w:ascii="宋体"/>
                <w:color w:val="auto"/>
                <w:sz w:val="22"/>
                <w:szCs w:val="22"/>
                <w:highlight w:val="none"/>
              </w:rPr>
            </w:pPr>
            <w:r>
              <w:rPr>
                <w:rFonts w:ascii="宋体"/>
                <w:color w:val="auto"/>
                <w:sz w:val="22"/>
                <w:szCs w:val="22"/>
                <w:highlight w:val="none"/>
              </w:rPr>
              <w:t>经营范围</w:t>
            </w:r>
          </w:p>
        </w:tc>
        <w:tc>
          <w:tcPr>
            <w:tcW w:w="7607" w:type="dxa"/>
            <w:gridSpan w:val="7"/>
            <w:tcBorders>
              <w:top w:val="single" w:color="000000" w:sz="4" w:space="0"/>
              <w:left w:val="single" w:color="000000" w:sz="4" w:space="0"/>
              <w:bottom w:val="single" w:color="000000" w:sz="4" w:space="0"/>
              <w:right w:val="single" w:color="000000" w:sz="8" w:space="0"/>
            </w:tcBorders>
            <w:vAlign w:val="center"/>
          </w:tcPr>
          <w:p w14:paraId="1741FC72">
            <w:pPr>
              <w:snapToGrid w:val="0"/>
              <w:jc w:val="center"/>
              <w:rPr>
                <w:rFonts w:ascii="宋体"/>
                <w:color w:val="auto"/>
                <w:sz w:val="22"/>
                <w:szCs w:val="22"/>
                <w:highlight w:val="none"/>
              </w:rPr>
            </w:pPr>
          </w:p>
        </w:tc>
      </w:tr>
      <w:tr w14:paraId="235C7B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862" w:type="dxa"/>
            <w:tcBorders>
              <w:top w:val="single" w:color="000000" w:sz="4" w:space="0"/>
              <w:left w:val="single" w:color="000000" w:sz="8" w:space="0"/>
              <w:bottom w:val="single" w:color="000000" w:sz="8" w:space="0"/>
              <w:right w:val="single" w:color="000000" w:sz="4" w:space="0"/>
            </w:tcBorders>
            <w:vAlign w:val="center"/>
          </w:tcPr>
          <w:p w14:paraId="06A8CEE5">
            <w:pPr>
              <w:snapToGrid w:val="0"/>
              <w:spacing w:line="600" w:lineRule="exact"/>
              <w:jc w:val="center"/>
              <w:rPr>
                <w:rFonts w:ascii="宋体"/>
                <w:color w:val="auto"/>
                <w:sz w:val="22"/>
                <w:szCs w:val="22"/>
                <w:highlight w:val="none"/>
              </w:rPr>
            </w:pPr>
            <w:r>
              <w:rPr>
                <w:rFonts w:ascii="宋体"/>
                <w:color w:val="auto"/>
                <w:sz w:val="22"/>
                <w:szCs w:val="22"/>
                <w:highlight w:val="none"/>
              </w:rPr>
              <w:t>备注</w:t>
            </w:r>
          </w:p>
        </w:tc>
        <w:tc>
          <w:tcPr>
            <w:tcW w:w="7607" w:type="dxa"/>
            <w:gridSpan w:val="7"/>
            <w:tcBorders>
              <w:top w:val="single" w:color="000000" w:sz="4" w:space="0"/>
              <w:left w:val="single" w:color="000000" w:sz="4" w:space="0"/>
              <w:bottom w:val="single" w:color="000000" w:sz="8" w:space="0"/>
              <w:right w:val="single" w:color="000000" w:sz="8" w:space="0"/>
            </w:tcBorders>
            <w:vAlign w:val="center"/>
          </w:tcPr>
          <w:p w14:paraId="5BAC6C0C">
            <w:pPr>
              <w:snapToGrid w:val="0"/>
              <w:jc w:val="center"/>
              <w:rPr>
                <w:rFonts w:ascii="宋体"/>
                <w:color w:val="auto"/>
                <w:sz w:val="22"/>
                <w:szCs w:val="22"/>
                <w:highlight w:val="none"/>
              </w:rPr>
            </w:pPr>
          </w:p>
        </w:tc>
      </w:tr>
    </w:tbl>
    <w:p w14:paraId="2764AD90">
      <w:pPr>
        <w:pStyle w:val="18"/>
        <w:snapToGrid w:val="0"/>
        <w:spacing w:line="400" w:lineRule="exact"/>
        <w:jc w:val="center"/>
        <w:rPr>
          <w:rFonts w:ascii="宋体"/>
          <w:bCs w:val="0"/>
          <w:color w:val="auto"/>
          <w:kern w:val="0"/>
          <w:highlight w:val="none"/>
        </w:rPr>
      </w:pPr>
      <w:r>
        <w:rPr>
          <w:rFonts w:ascii="宋体"/>
          <w:bCs w:val="0"/>
          <w:color w:val="auto"/>
          <w:kern w:val="0"/>
          <w:highlight w:val="none"/>
        </w:rPr>
        <w:t>（</w:t>
      </w:r>
      <w:r>
        <w:rPr>
          <w:rFonts w:hint="eastAsia" w:ascii="宋体"/>
          <w:bCs w:val="0"/>
          <w:color w:val="auto"/>
          <w:kern w:val="0"/>
          <w:highlight w:val="none"/>
        </w:rPr>
        <w:t>五</w:t>
      </w:r>
      <w:r>
        <w:rPr>
          <w:rFonts w:ascii="宋体"/>
          <w:bCs w:val="0"/>
          <w:color w:val="auto"/>
          <w:kern w:val="0"/>
          <w:highlight w:val="none"/>
        </w:rPr>
        <w:t>）项目管理机构</w:t>
      </w:r>
    </w:p>
    <w:p w14:paraId="68F52064">
      <w:pPr>
        <w:snapToGrid w:val="0"/>
        <w:spacing w:line="360" w:lineRule="auto"/>
        <w:jc w:val="center"/>
        <w:rPr>
          <w:rFonts w:ascii="宋体"/>
          <w:color w:val="auto"/>
          <w:sz w:val="28"/>
          <w:szCs w:val="28"/>
          <w:highlight w:val="none"/>
        </w:rPr>
      </w:pPr>
      <w:r>
        <w:rPr>
          <w:rFonts w:ascii="宋体"/>
          <w:color w:val="auto"/>
          <w:sz w:val="28"/>
          <w:szCs w:val="28"/>
          <w:highlight w:val="none"/>
        </w:rPr>
        <w:t>项目管理机构组成表</w:t>
      </w:r>
    </w:p>
    <w:tbl>
      <w:tblPr>
        <w:tblStyle w:val="14"/>
        <w:tblW w:w="985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732"/>
        <w:gridCol w:w="774"/>
        <w:gridCol w:w="1165"/>
        <w:gridCol w:w="774"/>
        <w:gridCol w:w="776"/>
        <w:gridCol w:w="774"/>
        <w:gridCol w:w="2730"/>
        <w:gridCol w:w="894"/>
      </w:tblGrid>
      <w:tr w14:paraId="5037E2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1" w:hRule="atLeast"/>
          <w:jc w:val="center"/>
        </w:trPr>
        <w:tc>
          <w:tcPr>
            <w:tcW w:w="1239" w:type="dxa"/>
            <w:vMerge w:val="restart"/>
            <w:tcBorders>
              <w:top w:val="single" w:color="000000" w:sz="8" w:space="0"/>
              <w:left w:val="single" w:color="000000" w:sz="8" w:space="0"/>
              <w:bottom w:val="single" w:color="000000" w:sz="4" w:space="0"/>
              <w:right w:val="single" w:color="000000" w:sz="4" w:space="0"/>
            </w:tcBorders>
            <w:vAlign w:val="center"/>
          </w:tcPr>
          <w:p w14:paraId="1D18E194">
            <w:pPr>
              <w:snapToGrid w:val="0"/>
              <w:jc w:val="center"/>
              <w:rPr>
                <w:rFonts w:ascii="宋体"/>
                <w:color w:val="auto"/>
                <w:sz w:val="22"/>
                <w:szCs w:val="22"/>
                <w:highlight w:val="none"/>
              </w:rPr>
            </w:pPr>
            <w:r>
              <w:rPr>
                <w:rFonts w:ascii="宋体"/>
                <w:color w:val="auto"/>
                <w:sz w:val="22"/>
                <w:szCs w:val="22"/>
                <w:highlight w:val="none"/>
              </w:rPr>
              <w:t>职务</w:t>
            </w:r>
          </w:p>
        </w:tc>
        <w:tc>
          <w:tcPr>
            <w:tcW w:w="732" w:type="dxa"/>
            <w:vMerge w:val="restart"/>
            <w:tcBorders>
              <w:top w:val="single" w:color="000000" w:sz="8" w:space="0"/>
              <w:left w:val="single" w:color="000000" w:sz="4" w:space="0"/>
              <w:bottom w:val="single" w:color="000000" w:sz="4" w:space="0"/>
              <w:right w:val="single" w:color="000000" w:sz="4" w:space="0"/>
            </w:tcBorders>
            <w:vAlign w:val="center"/>
          </w:tcPr>
          <w:p w14:paraId="449BF342">
            <w:pPr>
              <w:snapToGrid w:val="0"/>
              <w:jc w:val="center"/>
              <w:rPr>
                <w:rFonts w:ascii="宋体"/>
                <w:color w:val="auto"/>
                <w:sz w:val="22"/>
                <w:szCs w:val="22"/>
                <w:highlight w:val="none"/>
              </w:rPr>
            </w:pPr>
            <w:r>
              <w:rPr>
                <w:rFonts w:ascii="宋体"/>
                <w:color w:val="auto"/>
                <w:sz w:val="22"/>
                <w:szCs w:val="22"/>
                <w:highlight w:val="none"/>
              </w:rPr>
              <w:t>姓名</w:t>
            </w:r>
          </w:p>
        </w:tc>
        <w:tc>
          <w:tcPr>
            <w:tcW w:w="774" w:type="dxa"/>
            <w:vMerge w:val="restart"/>
            <w:tcBorders>
              <w:top w:val="single" w:color="000000" w:sz="8" w:space="0"/>
              <w:left w:val="single" w:color="000000" w:sz="4" w:space="0"/>
              <w:bottom w:val="single" w:color="000000" w:sz="4" w:space="0"/>
              <w:right w:val="single" w:color="000000" w:sz="4" w:space="0"/>
            </w:tcBorders>
            <w:vAlign w:val="center"/>
          </w:tcPr>
          <w:p w14:paraId="424B22E6">
            <w:pPr>
              <w:snapToGrid w:val="0"/>
              <w:jc w:val="center"/>
              <w:rPr>
                <w:rFonts w:ascii="宋体"/>
                <w:color w:val="auto"/>
                <w:sz w:val="22"/>
                <w:szCs w:val="22"/>
                <w:highlight w:val="none"/>
              </w:rPr>
            </w:pPr>
            <w:r>
              <w:rPr>
                <w:rFonts w:ascii="宋体"/>
                <w:color w:val="auto"/>
                <w:sz w:val="22"/>
                <w:szCs w:val="22"/>
                <w:highlight w:val="none"/>
              </w:rPr>
              <w:t>职称</w:t>
            </w:r>
          </w:p>
        </w:tc>
        <w:tc>
          <w:tcPr>
            <w:tcW w:w="6219" w:type="dxa"/>
            <w:gridSpan w:val="5"/>
            <w:tcBorders>
              <w:top w:val="single" w:color="000000" w:sz="8" w:space="0"/>
              <w:left w:val="single" w:color="000000" w:sz="4" w:space="0"/>
              <w:bottom w:val="single" w:color="000000" w:sz="4" w:space="0"/>
              <w:right w:val="single" w:color="000000" w:sz="4" w:space="0"/>
            </w:tcBorders>
            <w:vAlign w:val="center"/>
          </w:tcPr>
          <w:p w14:paraId="5E8B8332">
            <w:pPr>
              <w:snapToGrid w:val="0"/>
              <w:jc w:val="center"/>
              <w:rPr>
                <w:rFonts w:ascii="宋体"/>
                <w:color w:val="auto"/>
                <w:sz w:val="22"/>
                <w:szCs w:val="22"/>
                <w:highlight w:val="none"/>
              </w:rPr>
            </w:pPr>
            <w:r>
              <w:rPr>
                <w:rFonts w:ascii="宋体"/>
                <w:color w:val="auto"/>
                <w:sz w:val="22"/>
                <w:szCs w:val="22"/>
                <w:highlight w:val="none"/>
              </w:rPr>
              <w:t>执业或职业资格证明</w:t>
            </w:r>
          </w:p>
        </w:tc>
        <w:tc>
          <w:tcPr>
            <w:tcW w:w="894" w:type="dxa"/>
            <w:tcBorders>
              <w:top w:val="single" w:color="000000" w:sz="8" w:space="0"/>
              <w:left w:val="single" w:color="000000" w:sz="4" w:space="0"/>
              <w:bottom w:val="single" w:color="000000" w:sz="4" w:space="0"/>
              <w:right w:val="single" w:color="000000" w:sz="8" w:space="0"/>
            </w:tcBorders>
            <w:vAlign w:val="center"/>
          </w:tcPr>
          <w:p w14:paraId="5DF722A0">
            <w:pPr>
              <w:snapToGrid w:val="0"/>
              <w:jc w:val="center"/>
              <w:rPr>
                <w:rFonts w:ascii="宋体"/>
                <w:color w:val="auto"/>
                <w:sz w:val="22"/>
                <w:szCs w:val="22"/>
                <w:highlight w:val="none"/>
              </w:rPr>
            </w:pPr>
            <w:r>
              <w:rPr>
                <w:rFonts w:ascii="宋体"/>
                <w:color w:val="auto"/>
                <w:sz w:val="22"/>
                <w:szCs w:val="22"/>
                <w:highlight w:val="none"/>
              </w:rPr>
              <w:t>备注</w:t>
            </w:r>
          </w:p>
        </w:tc>
      </w:tr>
      <w:tr w14:paraId="7F3EC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vMerge w:val="continue"/>
            <w:tcBorders>
              <w:top w:val="single" w:color="000000" w:sz="8" w:space="0"/>
              <w:left w:val="single" w:color="000000" w:sz="8" w:space="0"/>
              <w:bottom w:val="single" w:color="000000" w:sz="4" w:space="0"/>
              <w:right w:val="single" w:color="000000" w:sz="4" w:space="0"/>
            </w:tcBorders>
            <w:vAlign w:val="center"/>
          </w:tcPr>
          <w:p w14:paraId="3B2C7D9A">
            <w:pPr>
              <w:rPr>
                <w:color w:val="auto"/>
                <w:highlight w:val="none"/>
              </w:rPr>
            </w:pPr>
          </w:p>
        </w:tc>
        <w:tc>
          <w:tcPr>
            <w:tcW w:w="732" w:type="dxa"/>
            <w:vMerge w:val="continue"/>
            <w:tcBorders>
              <w:top w:val="single" w:color="000000" w:sz="8" w:space="0"/>
              <w:left w:val="single" w:color="000000" w:sz="4" w:space="0"/>
              <w:bottom w:val="single" w:color="000000" w:sz="4" w:space="0"/>
              <w:right w:val="single" w:color="000000" w:sz="4" w:space="0"/>
            </w:tcBorders>
            <w:vAlign w:val="center"/>
          </w:tcPr>
          <w:p w14:paraId="1E7AF53A">
            <w:pPr>
              <w:rPr>
                <w:color w:val="auto"/>
                <w:highlight w:val="none"/>
              </w:rPr>
            </w:pPr>
          </w:p>
        </w:tc>
        <w:tc>
          <w:tcPr>
            <w:tcW w:w="774" w:type="dxa"/>
            <w:vMerge w:val="continue"/>
            <w:tcBorders>
              <w:top w:val="single" w:color="000000" w:sz="8" w:space="0"/>
              <w:left w:val="single" w:color="000000" w:sz="4" w:space="0"/>
              <w:bottom w:val="single" w:color="000000" w:sz="4" w:space="0"/>
              <w:right w:val="single" w:color="000000" w:sz="4" w:space="0"/>
            </w:tcBorders>
            <w:vAlign w:val="center"/>
          </w:tcPr>
          <w:p w14:paraId="6B84CD4A">
            <w:pPr>
              <w:rPr>
                <w:color w:val="auto"/>
                <w:highlight w:val="none"/>
              </w:rPr>
            </w:pPr>
          </w:p>
        </w:tc>
        <w:tc>
          <w:tcPr>
            <w:tcW w:w="1165" w:type="dxa"/>
            <w:tcBorders>
              <w:top w:val="single" w:color="000000" w:sz="4" w:space="0"/>
              <w:left w:val="single" w:color="000000" w:sz="4" w:space="0"/>
              <w:bottom w:val="single" w:color="000000" w:sz="4" w:space="0"/>
              <w:right w:val="single" w:color="000000" w:sz="4" w:space="0"/>
            </w:tcBorders>
            <w:vAlign w:val="center"/>
          </w:tcPr>
          <w:p w14:paraId="73A06BA9">
            <w:pPr>
              <w:snapToGrid w:val="0"/>
              <w:jc w:val="center"/>
              <w:rPr>
                <w:rFonts w:ascii="宋体"/>
                <w:color w:val="auto"/>
                <w:sz w:val="22"/>
                <w:szCs w:val="22"/>
                <w:highlight w:val="none"/>
              </w:rPr>
            </w:pPr>
            <w:r>
              <w:rPr>
                <w:rFonts w:ascii="宋体"/>
                <w:color w:val="auto"/>
                <w:sz w:val="22"/>
                <w:szCs w:val="22"/>
                <w:highlight w:val="none"/>
              </w:rPr>
              <w:t>证书名称</w:t>
            </w:r>
          </w:p>
        </w:tc>
        <w:tc>
          <w:tcPr>
            <w:tcW w:w="774" w:type="dxa"/>
            <w:tcBorders>
              <w:top w:val="single" w:color="000000" w:sz="4" w:space="0"/>
              <w:left w:val="single" w:color="000000" w:sz="4" w:space="0"/>
              <w:bottom w:val="single" w:color="000000" w:sz="4" w:space="0"/>
              <w:right w:val="single" w:color="000000" w:sz="4" w:space="0"/>
            </w:tcBorders>
            <w:vAlign w:val="center"/>
          </w:tcPr>
          <w:p w14:paraId="657B650A">
            <w:pPr>
              <w:snapToGrid w:val="0"/>
              <w:jc w:val="center"/>
              <w:rPr>
                <w:rFonts w:ascii="宋体"/>
                <w:color w:val="auto"/>
                <w:sz w:val="22"/>
                <w:szCs w:val="22"/>
                <w:highlight w:val="none"/>
              </w:rPr>
            </w:pPr>
            <w:r>
              <w:rPr>
                <w:rFonts w:ascii="宋体"/>
                <w:color w:val="auto"/>
                <w:sz w:val="22"/>
                <w:szCs w:val="22"/>
                <w:highlight w:val="none"/>
              </w:rPr>
              <w:t>级别</w:t>
            </w:r>
          </w:p>
        </w:tc>
        <w:tc>
          <w:tcPr>
            <w:tcW w:w="776" w:type="dxa"/>
            <w:tcBorders>
              <w:top w:val="single" w:color="000000" w:sz="4" w:space="0"/>
              <w:left w:val="single" w:color="000000" w:sz="4" w:space="0"/>
              <w:bottom w:val="single" w:color="000000" w:sz="4" w:space="0"/>
              <w:right w:val="single" w:color="000000" w:sz="4" w:space="0"/>
            </w:tcBorders>
            <w:vAlign w:val="center"/>
          </w:tcPr>
          <w:p w14:paraId="5CC38B17">
            <w:pPr>
              <w:snapToGrid w:val="0"/>
              <w:jc w:val="center"/>
              <w:rPr>
                <w:rFonts w:ascii="宋体"/>
                <w:color w:val="auto"/>
                <w:sz w:val="22"/>
                <w:szCs w:val="22"/>
                <w:highlight w:val="none"/>
              </w:rPr>
            </w:pPr>
            <w:r>
              <w:rPr>
                <w:rFonts w:ascii="宋体"/>
                <w:color w:val="auto"/>
                <w:sz w:val="22"/>
                <w:szCs w:val="22"/>
                <w:highlight w:val="none"/>
              </w:rPr>
              <w:t>证号</w:t>
            </w:r>
          </w:p>
        </w:tc>
        <w:tc>
          <w:tcPr>
            <w:tcW w:w="774" w:type="dxa"/>
            <w:tcBorders>
              <w:top w:val="single" w:color="000000" w:sz="4" w:space="0"/>
              <w:left w:val="single" w:color="000000" w:sz="4" w:space="0"/>
              <w:bottom w:val="single" w:color="000000" w:sz="4" w:space="0"/>
              <w:right w:val="single" w:color="000000" w:sz="4" w:space="0"/>
            </w:tcBorders>
            <w:vAlign w:val="center"/>
          </w:tcPr>
          <w:p w14:paraId="25029C4F">
            <w:pPr>
              <w:snapToGrid w:val="0"/>
              <w:jc w:val="center"/>
              <w:rPr>
                <w:rFonts w:ascii="宋体"/>
                <w:color w:val="auto"/>
                <w:sz w:val="22"/>
                <w:szCs w:val="22"/>
                <w:highlight w:val="none"/>
              </w:rPr>
            </w:pPr>
            <w:r>
              <w:rPr>
                <w:rFonts w:ascii="宋体"/>
                <w:color w:val="auto"/>
                <w:sz w:val="22"/>
                <w:szCs w:val="22"/>
                <w:highlight w:val="none"/>
              </w:rPr>
              <w:t>专业</w:t>
            </w:r>
          </w:p>
        </w:tc>
        <w:tc>
          <w:tcPr>
            <w:tcW w:w="2730" w:type="dxa"/>
            <w:tcBorders>
              <w:top w:val="single" w:color="000000" w:sz="4" w:space="0"/>
              <w:left w:val="single" w:color="000000" w:sz="4" w:space="0"/>
              <w:bottom w:val="single" w:color="000000" w:sz="4" w:space="0"/>
              <w:right w:val="single" w:color="000000" w:sz="4" w:space="0"/>
            </w:tcBorders>
            <w:vAlign w:val="center"/>
          </w:tcPr>
          <w:p w14:paraId="37D96943">
            <w:pPr>
              <w:snapToGrid w:val="0"/>
              <w:jc w:val="center"/>
              <w:rPr>
                <w:rFonts w:ascii="宋体"/>
                <w:color w:val="auto"/>
                <w:sz w:val="22"/>
                <w:szCs w:val="22"/>
                <w:highlight w:val="none"/>
              </w:rPr>
            </w:pPr>
            <w:r>
              <w:rPr>
                <w:rFonts w:ascii="宋体"/>
                <w:color w:val="auto"/>
                <w:sz w:val="22"/>
                <w:szCs w:val="22"/>
                <w:highlight w:val="none"/>
              </w:rPr>
              <w:t>养老保险</w:t>
            </w:r>
          </w:p>
        </w:tc>
        <w:tc>
          <w:tcPr>
            <w:tcW w:w="894" w:type="dxa"/>
            <w:tcBorders>
              <w:top w:val="single" w:color="000000" w:sz="4" w:space="0"/>
              <w:left w:val="single" w:color="000000" w:sz="4" w:space="0"/>
              <w:bottom w:val="single" w:color="000000" w:sz="4" w:space="0"/>
              <w:right w:val="single" w:color="000000" w:sz="8" w:space="0"/>
            </w:tcBorders>
          </w:tcPr>
          <w:p w14:paraId="0191E5A1">
            <w:pPr>
              <w:snapToGrid w:val="0"/>
              <w:rPr>
                <w:rFonts w:ascii="宋体"/>
                <w:color w:val="auto"/>
                <w:sz w:val="22"/>
                <w:szCs w:val="22"/>
                <w:highlight w:val="none"/>
              </w:rPr>
            </w:pPr>
          </w:p>
        </w:tc>
      </w:tr>
      <w:tr w14:paraId="44010E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239" w:type="dxa"/>
            <w:tcBorders>
              <w:top w:val="single" w:color="000000" w:sz="4" w:space="0"/>
              <w:left w:val="single" w:color="000000" w:sz="8" w:space="0"/>
              <w:bottom w:val="single" w:color="000000" w:sz="4" w:space="0"/>
              <w:right w:val="single" w:color="000000" w:sz="4" w:space="0"/>
            </w:tcBorders>
            <w:vAlign w:val="center"/>
          </w:tcPr>
          <w:p w14:paraId="14F33A8F">
            <w:pPr>
              <w:snapToGrid w:val="0"/>
              <w:jc w:val="center"/>
              <w:rPr>
                <w:rFonts w:ascii="宋体"/>
                <w:color w:val="auto"/>
                <w:sz w:val="22"/>
                <w:szCs w:val="22"/>
                <w:highlight w:val="none"/>
              </w:rPr>
            </w:pPr>
            <w:r>
              <w:rPr>
                <w:rFonts w:ascii="宋体"/>
                <w:color w:val="auto"/>
                <w:sz w:val="22"/>
                <w:szCs w:val="22"/>
                <w:highlight w:val="none"/>
              </w:rPr>
              <w:t>项目负责人</w:t>
            </w:r>
          </w:p>
        </w:tc>
        <w:tc>
          <w:tcPr>
            <w:tcW w:w="732" w:type="dxa"/>
            <w:tcBorders>
              <w:top w:val="single" w:color="000000" w:sz="4" w:space="0"/>
              <w:left w:val="single" w:color="000000" w:sz="4" w:space="0"/>
              <w:bottom w:val="single" w:color="000000" w:sz="4" w:space="0"/>
              <w:right w:val="single" w:color="000000" w:sz="4" w:space="0"/>
            </w:tcBorders>
          </w:tcPr>
          <w:p w14:paraId="1181E38B">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4FF22F0">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5EC72D3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2D46D509">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0C8076FD">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FE0E734">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6F96AD60">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2DD88929">
            <w:pPr>
              <w:snapToGrid w:val="0"/>
              <w:rPr>
                <w:rFonts w:ascii="宋体"/>
                <w:color w:val="auto"/>
                <w:sz w:val="22"/>
                <w:szCs w:val="22"/>
                <w:highlight w:val="none"/>
              </w:rPr>
            </w:pPr>
          </w:p>
        </w:tc>
      </w:tr>
      <w:tr w14:paraId="7F689C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239" w:type="dxa"/>
            <w:tcBorders>
              <w:top w:val="single" w:color="000000" w:sz="4" w:space="0"/>
              <w:left w:val="single" w:color="000000" w:sz="8" w:space="0"/>
              <w:bottom w:val="single" w:color="000000" w:sz="4" w:space="0"/>
              <w:right w:val="single" w:color="000000" w:sz="4" w:space="0"/>
            </w:tcBorders>
            <w:vAlign w:val="center"/>
          </w:tcPr>
          <w:p w14:paraId="661CD23C">
            <w:pPr>
              <w:snapToGrid w:val="0"/>
              <w:spacing w:line="400" w:lineRule="exact"/>
              <w:jc w:val="center"/>
              <w:rPr>
                <w:rFonts w:ascii="宋体"/>
                <w:color w:val="auto"/>
                <w:sz w:val="22"/>
                <w:szCs w:val="22"/>
                <w:highlight w:val="none"/>
              </w:rPr>
            </w:pPr>
            <w:r>
              <w:rPr>
                <w:rFonts w:ascii="宋体"/>
                <w:color w:val="auto"/>
                <w:sz w:val="22"/>
                <w:szCs w:val="22"/>
                <w:highlight w:val="none"/>
              </w:rPr>
              <w:t>项目技术负责人</w:t>
            </w:r>
          </w:p>
        </w:tc>
        <w:tc>
          <w:tcPr>
            <w:tcW w:w="732" w:type="dxa"/>
            <w:tcBorders>
              <w:top w:val="single" w:color="000000" w:sz="4" w:space="0"/>
              <w:left w:val="single" w:color="000000" w:sz="4" w:space="0"/>
              <w:bottom w:val="single" w:color="000000" w:sz="4" w:space="0"/>
              <w:right w:val="single" w:color="000000" w:sz="4" w:space="0"/>
            </w:tcBorders>
          </w:tcPr>
          <w:p w14:paraId="0D70A36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5D6BA635">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1720359A">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0642616">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572B472B">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21AEBFF3">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156F8C5C">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2A822317">
            <w:pPr>
              <w:snapToGrid w:val="0"/>
              <w:rPr>
                <w:rFonts w:ascii="宋体"/>
                <w:color w:val="auto"/>
                <w:sz w:val="22"/>
                <w:szCs w:val="22"/>
                <w:highlight w:val="none"/>
              </w:rPr>
            </w:pPr>
          </w:p>
        </w:tc>
      </w:tr>
      <w:tr w14:paraId="622C4B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564AE29C">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17F61605">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8C41FC9">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48AF58E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23EC035">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46E939E9">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07D760E">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5678BCB9">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0ED2751B">
            <w:pPr>
              <w:snapToGrid w:val="0"/>
              <w:rPr>
                <w:rFonts w:ascii="宋体"/>
                <w:color w:val="auto"/>
                <w:sz w:val="22"/>
                <w:szCs w:val="22"/>
                <w:highlight w:val="none"/>
              </w:rPr>
            </w:pPr>
          </w:p>
        </w:tc>
      </w:tr>
      <w:tr w14:paraId="064463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0244D967">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277BB79B">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E8888AF">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7B31723E">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3A88E25">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137CBA0B">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6E38BED">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7F24BD6A">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2405C158">
            <w:pPr>
              <w:snapToGrid w:val="0"/>
              <w:rPr>
                <w:rFonts w:ascii="宋体"/>
                <w:color w:val="auto"/>
                <w:sz w:val="22"/>
                <w:szCs w:val="22"/>
                <w:highlight w:val="none"/>
              </w:rPr>
            </w:pPr>
          </w:p>
        </w:tc>
      </w:tr>
      <w:tr w14:paraId="25BF71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15BBF760">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0F9C94B2">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12AC526F">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282C63F4">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15B77657">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033976E3">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172D706">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7D8685C2">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54A89B99">
            <w:pPr>
              <w:snapToGrid w:val="0"/>
              <w:rPr>
                <w:rFonts w:ascii="宋体"/>
                <w:color w:val="auto"/>
                <w:sz w:val="22"/>
                <w:szCs w:val="22"/>
                <w:highlight w:val="none"/>
              </w:rPr>
            </w:pPr>
          </w:p>
        </w:tc>
      </w:tr>
      <w:tr w14:paraId="57A9D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6B38C108">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19B74710">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20B0F756">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11B7289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17E3744">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2D32233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5A8C9ED6">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6F148BF7">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02AE4C49">
            <w:pPr>
              <w:snapToGrid w:val="0"/>
              <w:rPr>
                <w:rFonts w:ascii="宋体"/>
                <w:color w:val="auto"/>
                <w:sz w:val="22"/>
                <w:szCs w:val="22"/>
                <w:highlight w:val="none"/>
              </w:rPr>
            </w:pPr>
          </w:p>
        </w:tc>
      </w:tr>
      <w:tr w14:paraId="21FBCF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08963E84">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214C445D">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1DF4FE0A">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37C81D28">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4DF792D">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62C19BAC">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570FC10C">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36655260">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2FC5D98F">
            <w:pPr>
              <w:snapToGrid w:val="0"/>
              <w:rPr>
                <w:rFonts w:ascii="宋体"/>
                <w:color w:val="auto"/>
                <w:sz w:val="22"/>
                <w:szCs w:val="22"/>
                <w:highlight w:val="none"/>
              </w:rPr>
            </w:pPr>
          </w:p>
        </w:tc>
      </w:tr>
      <w:tr w14:paraId="26873B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10AC9557">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4099797C">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7A7A915F">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52838155">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691CCC0">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1BCAC36D">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0F60DD30">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5566DCFE">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0B4DF3CB">
            <w:pPr>
              <w:snapToGrid w:val="0"/>
              <w:rPr>
                <w:rFonts w:ascii="宋体"/>
                <w:color w:val="auto"/>
                <w:sz w:val="22"/>
                <w:szCs w:val="22"/>
                <w:highlight w:val="none"/>
              </w:rPr>
            </w:pPr>
          </w:p>
        </w:tc>
      </w:tr>
      <w:tr w14:paraId="1FF21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35E75871">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0A2CF0A1">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874981A">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2529E7EE">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0F1AF83C">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18CEC656">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06A93D47">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27B67A4E">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6B0A3F99">
            <w:pPr>
              <w:snapToGrid w:val="0"/>
              <w:rPr>
                <w:rFonts w:ascii="宋体"/>
                <w:color w:val="auto"/>
                <w:sz w:val="22"/>
                <w:szCs w:val="22"/>
                <w:highlight w:val="none"/>
              </w:rPr>
            </w:pPr>
          </w:p>
        </w:tc>
      </w:tr>
      <w:tr w14:paraId="22686D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2A21FA4C">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5645A37A">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E49DAC8">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1D48DFBB">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7DC8FD0C">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7EFE0442">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0981A528">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1A225FB2">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63E39EA5">
            <w:pPr>
              <w:snapToGrid w:val="0"/>
              <w:rPr>
                <w:rFonts w:ascii="宋体"/>
                <w:color w:val="auto"/>
                <w:sz w:val="22"/>
                <w:szCs w:val="22"/>
                <w:highlight w:val="none"/>
              </w:rPr>
            </w:pPr>
          </w:p>
        </w:tc>
      </w:tr>
      <w:tr w14:paraId="02F75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1BACBB64">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4AE2AE28">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43579D0">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339626C8">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4DD4190">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2889BD0C">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2DE1D0B7">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6A14152D">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119350CC">
            <w:pPr>
              <w:snapToGrid w:val="0"/>
              <w:rPr>
                <w:rFonts w:ascii="宋体"/>
                <w:color w:val="auto"/>
                <w:sz w:val="22"/>
                <w:szCs w:val="22"/>
                <w:highlight w:val="none"/>
              </w:rPr>
            </w:pPr>
          </w:p>
        </w:tc>
      </w:tr>
      <w:tr w14:paraId="65B4FD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7A0C4F3C">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434EDD9A">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F6E5E94">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5A8FF8D5">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45F0B1ED">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785E37F6">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7E3D6DA0">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1394CFA1">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633A56C2">
            <w:pPr>
              <w:snapToGrid w:val="0"/>
              <w:rPr>
                <w:rFonts w:ascii="宋体"/>
                <w:color w:val="auto"/>
                <w:sz w:val="22"/>
                <w:szCs w:val="22"/>
                <w:highlight w:val="none"/>
              </w:rPr>
            </w:pPr>
          </w:p>
        </w:tc>
      </w:tr>
      <w:tr w14:paraId="5664CE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1BF2B700">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5473321E">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FBAB553">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41650245">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B7AF95B">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05EC37EA">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7226A234">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1669065A">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652B073E">
            <w:pPr>
              <w:snapToGrid w:val="0"/>
              <w:rPr>
                <w:rFonts w:ascii="宋体"/>
                <w:color w:val="auto"/>
                <w:sz w:val="22"/>
                <w:szCs w:val="22"/>
                <w:highlight w:val="none"/>
              </w:rPr>
            </w:pPr>
          </w:p>
        </w:tc>
      </w:tr>
      <w:tr w14:paraId="646DC3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239" w:type="dxa"/>
            <w:tcBorders>
              <w:top w:val="single" w:color="000000" w:sz="4" w:space="0"/>
              <w:left w:val="single" w:color="000000" w:sz="8" w:space="0"/>
              <w:bottom w:val="single" w:color="000000" w:sz="4" w:space="0"/>
              <w:right w:val="single" w:color="000000" w:sz="4" w:space="0"/>
            </w:tcBorders>
          </w:tcPr>
          <w:p w14:paraId="220D7356">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4" w:space="0"/>
              <w:right w:val="single" w:color="000000" w:sz="4" w:space="0"/>
            </w:tcBorders>
          </w:tcPr>
          <w:p w14:paraId="097CA99C">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2DD0978C">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4" w:space="0"/>
              <w:right w:val="single" w:color="000000" w:sz="4" w:space="0"/>
            </w:tcBorders>
          </w:tcPr>
          <w:p w14:paraId="5E024E41">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6009E1AF">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4" w:space="0"/>
              <w:right w:val="single" w:color="000000" w:sz="4" w:space="0"/>
            </w:tcBorders>
          </w:tcPr>
          <w:p w14:paraId="1A8F53AD">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4" w:space="0"/>
              <w:right w:val="single" w:color="000000" w:sz="4" w:space="0"/>
            </w:tcBorders>
          </w:tcPr>
          <w:p w14:paraId="34B5778F">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4" w:space="0"/>
              <w:right w:val="single" w:color="000000" w:sz="4" w:space="0"/>
            </w:tcBorders>
          </w:tcPr>
          <w:p w14:paraId="03C6240F">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4" w:space="0"/>
              <w:right w:val="single" w:color="000000" w:sz="8" w:space="0"/>
            </w:tcBorders>
          </w:tcPr>
          <w:p w14:paraId="3C65C660">
            <w:pPr>
              <w:snapToGrid w:val="0"/>
              <w:rPr>
                <w:rFonts w:ascii="宋体"/>
                <w:color w:val="auto"/>
                <w:sz w:val="22"/>
                <w:szCs w:val="22"/>
                <w:highlight w:val="none"/>
              </w:rPr>
            </w:pPr>
          </w:p>
        </w:tc>
      </w:tr>
      <w:tr w14:paraId="739185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239" w:type="dxa"/>
            <w:tcBorders>
              <w:top w:val="single" w:color="000000" w:sz="4" w:space="0"/>
              <w:left w:val="single" w:color="000000" w:sz="8" w:space="0"/>
              <w:bottom w:val="single" w:color="000000" w:sz="8" w:space="0"/>
              <w:right w:val="single" w:color="000000" w:sz="4" w:space="0"/>
            </w:tcBorders>
          </w:tcPr>
          <w:p w14:paraId="1DA7C4B7">
            <w:pPr>
              <w:snapToGrid w:val="0"/>
              <w:rPr>
                <w:rFonts w:ascii="宋体"/>
                <w:color w:val="auto"/>
                <w:sz w:val="22"/>
                <w:szCs w:val="22"/>
                <w:highlight w:val="none"/>
              </w:rPr>
            </w:pPr>
          </w:p>
        </w:tc>
        <w:tc>
          <w:tcPr>
            <w:tcW w:w="732" w:type="dxa"/>
            <w:tcBorders>
              <w:top w:val="single" w:color="000000" w:sz="4" w:space="0"/>
              <w:left w:val="single" w:color="000000" w:sz="4" w:space="0"/>
              <w:bottom w:val="single" w:color="000000" w:sz="8" w:space="0"/>
              <w:right w:val="single" w:color="000000" w:sz="4" w:space="0"/>
            </w:tcBorders>
          </w:tcPr>
          <w:p w14:paraId="6395D0BF">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8" w:space="0"/>
              <w:right w:val="single" w:color="000000" w:sz="4" w:space="0"/>
            </w:tcBorders>
          </w:tcPr>
          <w:p w14:paraId="2394930C">
            <w:pPr>
              <w:snapToGrid w:val="0"/>
              <w:rPr>
                <w:rFonts w:ascii="宋体"/>
                <w:color w:val="auto"/>
                <w:sz w:val="22"/>
                <w:szCs w:val="22"/>
                <w:highlight w:val="none"/>
              </w:rPr>
            </w:pPr>
          </w:p>
        </w:tc>
        <w:tc>
          <w:tcPr>
            <w:tcW w:w="1165" w:type="dxa"/>
            <w:tcBorders>
              <w:top w:val="single" w:color="000000" w:sz="4" w:space="0"/>
              <w:left w:val="single" w:color="000000" w:sz="4" w:space="0"/>
              <w:bottom w:val="single" w:color="000000" w:sz="8" w:space="0"/>
              <w:right w:val="single" w:color="000000" w:sz="4" w:space="0"/>
            </w:tcBorders>
          </w:tcPr>
          <w:p w14:paraId="2E919570">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8" w:space="0"/>
              <w:right w:val="single" w:color="000000" w:sz="4" w:space="0"/>
            </w:tcBorders>
          </w:tcPr>
          <w:p w14:paraId="1ABCE784">
            <w:pPr>
              <w:snapToGrid w:val="0"/>
              <w:rPr>
                <w:rFonts w:ascii="宋体"/>
                <w:color w:val="auto"/>
                <w:sz w:val="22"/>
                <w:szCs w:val="22"/>
                <w:highlight w:val="none"/>
              </w:rPr>
            </w:pPr>
          </w:p>
        </w:tc>
        <w:tc>
          <w:tcPr>
            <w:tcW w:w="776" w:type="dxa"/>
            <w:tcBorders>
              <w:top w:val="single" w:color="000000" w:sz="4" w:space="0"/>
              <w:left w:val="single" w:color="000000" w:sz="4" w:space="0"/>
              <w:bottom w:val="single" w:color="000000" w:sz="8" w:space="0"/>
              <w:right w:val="single" w:color="000000" w:sz="4" w:space="0"/>
            </w:tcBorders>
          </w:tcPr>
          <w:p w14:paraId="647D6446">
            <w:pPr>
              <w:snapToGrid w:val="0"/>
              <w:rPr>
                <w:rFonts w:ascii="宋体"/>
                <w:color w:val="auto"/>
                <w:sz w:val="22"/>
                <w:szCs w:val="22"/>
                <w:highlight w:val="none"/>
              </w:rPr>
            </w:pPr>
          </w:p>
        </w:tc>
        <w:tc>
          <w:tcPr>
            <w:tcW w:w="774" w:type="dxa"/>
            <w:tcBorders>
              <w:top w:val="single" w:color="000000" w:sz="4" w:space="0"/>
              <w:left w:val="single" w:color="000000" w:sz="4" w:space="0"/>
              <w:bottom w:val="single" w:color="000000" w:sz="8" w:space="0"/>
              <w:right w:val="single" w:color="000000" w:sz="4" w:space="0"/>
            </w:tcBorders>
          </w:tcPr>
          <w:p w14:paraId="435EBA25">
            <w:pPr>
              <w:snapToGrid w:val="0"/>
              <w:rPr>
                <w:rFonts w:ascii="宋体"/>
                <w:color w:val="auto"/>
                <w:sz w:val="22"/>
                <w:szCs w:val="22"/>
                <w:highlight w:val="none"/>
              </w:rPr>
            </w:pPr>
          </w:p>
        </w:tc>
        <w:tc>
          <w:tcPr>
            <w:tcW w:w="2730" w:type="dxa"/>
            <w:tcBorders>
              <w:top w:val="single" w:color="000000" w:sz="4" w:space="0"/>
              <w:left w:val="single" w:color="000000" w:sz="4" w:space="0"/>
              <w:bottom w:val="single" w:color="000000" w:sz="8" w:space="0"/>
              <w:right w:val="single" w:color="000000" w:sz="4" w:space="0"/>
            </w:tcBorders>
          </w:tcPr>
          <w:p w14:paraId="67BAACAA">
            <w:pPr>
              <w:snapToGrid w:val="0"/>
              <w:rPr>
                <w:rFonts w:ascii="宋体"/>
                <w:color w:val="auto"/>
                <w:sz w:val="22"/>
                <w:szCs w:val="22"/>
                <w:highlight w:val="none"/>
              </w:rPr>
            </w:pPr>
          </w:p>
        </w:tc>
        <w:tc>
          <w:tcPr>
            <w:tcW w:w="894" w:type="dxa"/>
            <w:tcBorders>
              <w:top w:val="single" w:color="000000" w:sz="4" w:space="0"/>
              <w:left w:val="single" w:color="000000" w:sz="4" w:space="0"/>
              <w:bottom w:val="single" w:color="000000" w:sz="8" w:space="0"/>
              <w:right w:val="single" w:color="000000" w:sz="8" w:space="0"/>
            </w:tcBorders>
          </w:tcPr>
          <w:p w14:paraId="0373123F">
            <w:pPr>
              <w:snapToGrid w:val="0"/>
              <w:rPr>
                <w:rFonts w:ascii="宋体"/>
                <w:color w:val="auto"/>
                <w:sz w:val="22"/>
                <w:szCs w:val="22"/>
                <w:highlight w:val="none"/>
              </w:rPr>
            </w:pPr>
          </w:p>
        </w:tc>
      </w:tr>
    </w:tbl>
    <w:p w14:paraId="2B5BAAEA">
      <w:pPr>
        <w:snapToGrid w:val="0"/>
        <w:spacing w:line="20" w:lineRule="exact"/>
        <w:jc w:val="center"/>
        <w:rPr>
          <w:rFonts w:ascii="宋体"/>
          <w:color w:val="auto"/>
          <w:highlight w:val="none"/>
        </w:rPr>
      </w:pPr>
      <w:r>
        <w:rPr>
          <w:rFonts w:ascii="宋体"/>
          <w:color w:val="auto"/>
          <w:highlight w:val="none"/>
        </w:rPr>
        <w:t xml:space="preserve"> </w:t>
      </w:r>
    </w:p>
    <w:p w14:paraId="6EA58E1F">
      <w:pPr>
        <w:snapToGrid w:val="0"/>
        <w:spacing w:line="360" w:lineRule="auto"/>
        <w:ind w:firstLine="480" w:firstLineChars="200"/>
        <w:rPr>
          <w:rFonts w:ascii="宋体"/>
          <w:color w:val="auto"/>
          <w:sz w:val="32"/>
          <w:szCs w:val="32"/>
          <w:highlight w:val="none"/>
        </w:rPr>
      </w:pPr>
      <w:r>
        <w:rPr>
          <w:rFonts w:ascii="宋体"/>
          <w:color w:val="auto"/>
          <w:highlight w:val="none"/>
        </w:rPr>
        <w:t>备注：本表填项目负责人、项目技术负责人等相关信息</w:t>
      </w:r>
    </w:p>
    <w:p w14:paraId="73DE0949">
      <w:pPr>
        <w:snapToGrid w:val="0"/>
        <w:spacing w:line="360" w:lineRule="auto"/>
        <w:jc w:val="center"/>
        <w:rPr>
          <w:rFonts w:ascii="宋体" w:cs="Times New Roman"/>
          <w:b/>
          <w:bCs/>
          <w:color w:val="auto"/>
          <w:sz w:val="32"/>
          <w:szCs w:val="32"/>
          <w:highlight w:val="none"/>
        </w:rPr>
      </w:pPr>
    </w:p>
    <w:p w14:paraId="0A525A5E">
      <w:pPr>
        <w:snapToGrid w:val="0"/>
        <w:spacing w:line="360" w:lineRule="auto"/>
        <w:jc w:val="center"/>
        <w:rPr>
          <w:rFonts w:ascii="宋体" w:cs="Times New Roman"/>
          <w:b/>
          <w:bCs/>
          <w:color w:val="auto"/>
          <w:sz w:val="32"/>
          <w:szCs w:val="32"/>
          <w:highlight w:val="none"/>
        </w:rPr>
      </w:pPr>
      <w:r>
        <w:rPr>
          <w:rFonts w:ascii="宋体" w:cs="Times New Roman"/>
          <w:b/>
          <w:bCs/>
          <w:color w:val="auto"/>
          <w:sz w:val="32"/>
          <w:szCs w:val="32"/>
          <w:highlight w:val="none"/>
        </w:rPr>
        <w:t>项目负责人及项目技术负责人简历表</w:t>
      </w:r>
    </w:p>
    <w:tbl>
      <w:tblPr>
        <w:tblStyle w:val="14"/>
        <w:tblW w:w="95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360C5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306" w:type="dxa"/>
            <w:tcBorders>
              <w:top w:val="single" w:color="000000" w:sz="8" w:space="0"/>
              <w:left w:val="single" w:color="000000" w:sz="8" w:space="0"/>
              <w:bottom w:val="single" w:color="000000" w:sz="4" w:space="0"/>
              <w:right w:val="single" w:color="000000" w:sz="4" w:space="0"/>
            </w:tcBorders>
            <w:vAlign w:val="center"/>
          </w:tcPr>
          <w:p w14:paraId="0925D0BD">
            <w:pPr>
              <w:snapToGrid w:val="0"/>
              <w:jc w:val="center"/>
              <w:rPr>
                <w:rFonts w:ascii="宋体"/>
                <w:color w:val="auto"/>
                <w:sz w:val="22"/>
                <w:szCs w:val="22"/>
                <w:highlight w:val="none"/>
              </w:rPr>
            </w:pPr>
            <w:r>
              <w:rPr>
                <w:rFonts w:ascii="宋体"/>
                <w:color w:val="auto"/>
                <w:sz w:val="22"/>
                <w:szCs w:val="22"/>
                <w:highlight w:val="none"/>
              </w:rPr>
              <w:t>姓名</w:t>
            </w:r>
          </w:p>
        </w:tc>
        <w:tc>
          <w:tcPr>
            <w:tcW w:w="1190" w:type="dxa"/>
            <w:gridSpan w:val="2"/>
            <w:tcBorders>
              <w:top w:val="single" w:color="000000" w:sz="8" w:space="0"/>
              <w:left w:val="single" w:color="000000" w:sz="4" w:space="0"/>
              <w:bottom w:val="single" w:color="000000" w:sz="4" w:space="0"/>
              <w:right w:val="single" w:color="000000" w:sz="4" w:space="0"/>
            </w:tcBorders>
            <w:vAlign w:val="center"/>
          </w:tcPr>
          <w:p w14:paraId="6D185840">
            <w:pPr>
              <w:snapToGrid w:val="0"/>
              <w:jc w:val="center"/>
              <w:rPr>
                <w:rFonts w:ascii="宋体"/>
                <w:color w:val="auto"/>
                <w:sz w:val="22"/>
                <w:szCs w:val="22"/>
                <w:highlight w:val="none"/>
              </w:rPr>
            </w:pPr>
          </w:p>
        </w:tc>
        <w:tc>
          <w:tcPr>
            <w:tcW w:w="1020" w:type="dxa"/>
            <w:tcBorders>
              <w:top w:val="single" w:color="000000" w:sz="8" w:space="0"/>
              <w:left w:val="single" w:color="000000" w:sz="4" w:space="0"/>
              <w:bottom w:val="single" w:color="000000" w:sz="4" w:space="0"/>
              <w:right w:val="single" w:color="000000" w:sz="4" w:space="0"/>
            </w:tcBorders>
            <w:vAlign w:val="center"/>
          </w:tcPr>
          <w:p w14:paraId="344F141B">
            <w:pPr>
              <w:snapToGrid w:val="0"/>
              <w:jc w:val="center"/>
              <w:rPr>
                <w:rFonts w:ascii="宋体"/>
                <w:color w:val="auto"/>
                <w:sz w:val="22"/>
                <w:szCs w:val="22"/>
                <w:highlight w:val="none"/>
              </w:rPr>
            </w:pPr>
            <w:r>
              <w:rPr>
                <w:rFonts w:ascii="宋体"/>
                <w:color w:val="auto"/>
                <w:sz w:val="22"/>
                <w:szCs w:val="22"/>
                <w:highlight w:val="none"/>
              </w:rPr>
              <w:t>年龄</w:t>
            </w:r>
          </w:p>
        </w:tc>
        <w:tc>
          <w:tcPr>
            <w:tcW w:w="1175" w:type="dxa"/>
            <w:tcBorders>
              <w:top w:val="single" w:color="000000" w:sz="8" w:space="0"/>
              <w:left w:val="single" w:color="000000" w:sz="4" w:space="0"/>
              <w:bottom w:val="single" w:color="000000" w:sz="4" w:space="0"/>
              <w:right w:val="single" w:color="000000" w:sz="4" w:space="0"/>
            </w:tcBorders>
            <w:vAlign w:val="center"/>
          </w:tcPr>
          <w:p w14:paraId="0AEA7F7D">
            <w:pPr>
              <w:snapToGrid w:val="0"/>
              <w:jc w:val="center"/>
              <w:rPr>
                <w:rFonts w:ascii="宋体"/>
                <w:color w:val="auto"/>
                <w:sz w:val="22"/>
                <w:szCs w:val="22"/>
                <w:highlight w:val="none"/>
              </w:rPr>
            </w:pPr>
          </w:p>
        </w:tc>
        <w:tc>
          <w:tcPr>
            <w:tcW w:w="2346" w:type="dxa"/>
            <w:gridSpan w:val="3"/>
            <w:tcBorders>
              <w:top w:val="single" w:color="000000" w:sz="8" w:space="0"/>
              <w:left w:val="single" w:color="000000" w:sz="4" w:space="0"/>
              <w:bottom w:val="single" w:color="000000" w:sz="4" w:space="0"/>
              <w:right w:val="single" w:color="000000" w:sz="4" w:space="0"/>
            </w:tcBorders>
            <w:vAlign w:val="center"/>
          </w:tcPr>
          <w:p w14:paraId="1ABF1700">
            <w:pPr>
              <w:snapToGrid w:val="0"/>
              <w:jc w:val="center"/>
              <w:rPr>
                <w:rFonts w:ascii="宋体"/>
                <w:color w:val="auto"/>
                <w:sz w:val="22"/>
                <w:szCs w:val="22"/>
                <w:highlight w:val="none"/>
              </w:rPr>
            </w:pPr>
            <w:r>
              <w:rPr>
                <w:rFonts w:ascii="宋体"/>
                <w:color w:val="auto"/>
                <w:sz w:val="22"/>
                <w:szCs w:val="22"/>
                <w:highlight w:val="none"/>
              </w:rPr>
              <w:t>学历</w:t>
            </w:r>
          </w:p>
        </w:tc>
        <w:tc>
          <w:tcPr>
            <w:tcW w:w="2528" w:type="dxa"/>
            <w:tcBorders>
              <w:top w:val="single" w:color="000000" w:sz="8" w:space="0"/>
              <w:left w:val="single" w:color="000000" w:sz="4" w:space="0"/>
              <w:bottom w:val="single" w:color="000000" w:sz="4" w:space="0"/>
              <w:right w:val="single" w:color="000000" w:sz="8" w:space="0"/>
            </w:tcBorders>
            <w:vAlign w:val="center"/>
          </w:tcPr>
          <w:p w14:paraId="02B6F13B">
            <w:pPr>
              <w:snapToGrid w:val="0"/>
              <w:jc w:val="center"/>
              <w:rPr>
                <w:rFonts w:ascii="宋体"/>
                <w:color w:val="auto"/>
                <w:sz w:val="22"/>
                <w:szCs w:val="22"/>
                <w:highlight w:val="none"/>
              </w:rPr>
            </w:pPr>
          </w:p>
        </w:tc>
      </w:tr>
      <w:tr w14:paraId="086564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306" w:type="dxa"/>
            <w:tcBorders>
              <w:top w:val="single" w:color="000000" w:sz="4" w:space="0"/>
              <w:left w:val="single" w:color="000000" w:sz="8" w:space="0"/>
              <w:bottom w:val="single" w:color="000000" w:sz="4" w:space="0"/>
              <w:right w:val="single" w:color="000000" w:sz="4" w:space="0"/>
            </w:tcBorders>
            <w:vAlign w:val="center"/>
          </w:tcPr>
          <w:p w14:paraId="6DE303E3">
            <w:pPr>
              <w:snapToGrid w:val="0"/>
              <w:jc w:val="center"/>
              <w:rPr>
                <w:rFonts w:ascii="宋体"/>
                <w:color w:val="auto"/>
                <w:sz w:val="22"/>
                <w:szCs w:val="22"/>
                <w:highlight w:val="none"/>
              </w:rPr>
            </w:pPr>
            <w:r>
              <w:rPr>
                <w:rFonts w:ascii="宋体"/>
                <w:color w:val="auto"/>
                <w:sz w:val="22"/>
                <w:szCs w:val="22"/>
                <w:highlight w:val="none"/>
              </w:rPr>
              <w:t>职称</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14:paraId="37D5AC2B">
            <w:pPr>
              <w:snapToGrid w:val="0"/>
              <w:jc w:val="center"/>
              <w:rPr>
                <w:rFonts w:ascii="宋体"/>
                <w:color w:val="auto"/>
                <w:sz w:val="22"/>
                <w:szCs w:val="22"/>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B8751EF">
            <w:pPr>
              <w:snapToGrid w:val="0"/>
              <w:jc w:val="center"/>
              <w:rPr>
                <w:rFonts w:ascii="宋体"/>
                <w:color w:val="auto"/>
                <w:sz w:val="22"/>
                <w:szCs w:val="22"/>
                <w:highlight w:val="none"/>
              </w:rPr>
            </w:pPr>
            <w:r>
              <w:rPr>
                <w:rFonts w:ascii="宋体"/>
                <w:color w:val="auto"/>
                <w:sz w:val="22"/>
                <w:szCs w:val="22"/>
                <w:highlight w:val="none"/>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14:paraId="007F422E">
            <w:pPr>
              <w:snapToGrid w:val="0"/>
              <w:jc w:val="center"/>
              <w:rPr>
                <w:rFonts w:ascii="宋体"/>
                <w:color w:val="auto"/>
                <w:sz w:val="22"/>
                <w:szCs w:val="22"/>
                <w:highlight w:val="none"/>
              </w:rPr>
            </w:pPr>
          </w:p>
        </w:tc>
        <w:tc>
          <w:tcPr>
            <w:tcW w:w="2346" w:type="dxa"/>
            <w:gridSpan w:val="3"/>
            <w:tcBorders>
              <w:top w:val="single" w:color="000000" w:sz="4" w:space="0"/>
              <w:left w:val="single" w:color="000000" w:sz="4" w:space="0"/>
              <w:bottom w:val="single" w:color="000000" w:sz="4" w:space="0"/>
              <w:right w:val="single" w:color="000000" w:sz="4" w:space="0"/>
            </w:tcBorders>
            <w:vAlign w:val="center"/>
          </w:tcPr>
          <w:p w14:paraId="48BC2B36">
            <w:pPr>
              <w:snapToGrid w:val="0"/>
              <w:jc w:val="center"/>
              <w:rPr>
                <w:rFonts w:ascii="宋体"/>
                <w:color w:val="auto"/>
                <w:sz w:val="22"/>
                <w:szCs w:val="22"/>
                <w:highlight w:val="none"/>
              </w:rPr>
            </w:pPr>
            <w:r>
              <w:rPr>
                <w:rFonts w:ascii="宋体"/>
                <w:color w:val="auto"/>
                <w:sz w:val="22"/>
                <w:szCs w:val="22"/>
                <w:highlight w:val="none"/>
              </w:rPr>
              <w:t>拟在本合同任职</w:t>
            </w:r>
          </w:p>
        </w:tc>
        <w:tc>
          <w:tcPr>
            <w:tcW w:w="2528" w:type="dxa"/>
            <w:tcBorders>
              <w:top w:val="single" w:color="000000" w:sz="4" w:space="0"/>
              <w:left w:val="single" w:color="000000" w:sz="4" w:space="0"/>
              <w:bottom w:val="single" w:color="000000" w:sz="4" w:space="0"/>
              <w:right w:val="single" w:color="000000" w:sz="8" w:space="0"/>
            </w:tcBorders>
            <w:vAlign w:val="center"/>
          </w:tcPr>
          <w:p w14:paraId="74CA7ABD">
            <w:pPr>
              <w:snapToGrid w:val="0"/>
              <w:jc w:val="center"/>
              <w:rPr>
                <w:rFonts w:ascii="宋体"/>
                <w:color w:val="auto"/>
                <w:sz w:val="22"/>
                <w:szCs w:val="22"/>
                <w:highlight w:val="none"/>
              </w:rPr>
            </w:pPr>
          </w:p>
        </w:tc>
      </w:tr>
      <w:tr w14:paraId="589B10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306" w:type="dxa"/>
            <w:tcBorders>
              <w:top w:val="single" w:color="000000" w:sz="4" w:space="0"/>
              <w:left w:val="single" w:color="000000" w:sz="8" w:space="0"/>
              <w:bottom w:val="single" w:color="000000" w:sz="4" w:space="0"/>
              <w:right w:val="single" w:color="000000" w:sz="4" w:space="0"/>
            </w:tcBorders>
            <w:vAlign w:val="center"/>
          </w:tcPr>
          <w:p w14:paraId="3865BC02">
            <w:pPr>
              <w:snapToGrid w:val="0"/>
              <w:spacing w:line="600" w:lineRule="exact"/>
              <w:rPr>
                <w:rFonts w:ascii="宋体"/>
                <w:color w:val="auto"/>
                <w:sz w:val="22"/>
                <w:szCs w:val="22"/>
                <w:highlight w:val="none"/>
              </w:rPr>
            </w:pPr>
            <w:r>
              <w:rPr>
                <w:rFonts w:ascii="宋体"/>
                <w:color w:val="auto"/>
                <w:sz w:val="22"/>
                <w:szCs w:val="22"/>
                <w:highlight w:val="none"/>
              </w:rPr>
              <w:t>毕业学校</w:t>
            </w:r>
          </w:p>
        </w:tc>
        <w:tc>
          <w:tcPr>
            <w:tcW w:w="8259" w:type="dxa"/>
            <w:gridSpan w:val="8"/>
            <w:tcBorders>
              <w:top w:val="single" w:color="000000" w:sz="4" w:space="0"/>
              <w:left w:val="single" w:color="000000" w:sz="4" w:space="0"/>
              <w:bottom w:val="single" w:color="000000" w:sz="4" w:space="0"/>
              <w:right w:val="single" w:color="000000" w:sz="8" w:space="0"/>
            </w:tcBorders>
            <w:vAlign w:val="center"/>
          </w:tcPr>
          <w:p w14:paraId="5695BBA1">
            <w:pPr>
              <w:snapToGrid w:val="0"/>
              <w:spacing w:line="600" w:lineRule="exact"/>
              <w:ind w:firstLine="567"/>
              <w:jc w:val="center"/>
              <w:rPr>
                <w:rFonts w:ascii="宋体"/>
                <w:color w:val="auto"/>
                <w:sz w:val="22"/>
                <w:szCs w:val="22"/>
                <w:highlight w:val="none"/>
              </w:rPr>
            </w:pPr>
            <w:r>
              <w:rPr>
                <w:rFonts w:ascii="宋体"/>
                <w:color w:val="auto"/>
                <w:sz w:val="22"/>
                <w:szCs w:val="22"/>
                <w:highlight w:val="none"/>
              </w:rPr>
              <w:t>年</w:t>
            </w:r>
            <w:r>
              <w:rPr>
                <w:rFonts w:ascii="宋体"/>
                <w:color w:val="auto"/>
                <w:spacing w:val="-1"/>
                <w:sz w:val="22"/>
                <w:szCs w:val="22"/>
                <w:highlight w:val="none"/>
              </w:rPr>
              <w:t>毕</w:t>
            </w:r>
            <w:r>
              <w:rPr>
                <w:rFonts w:ascii="宋体"/>
                <w:color w:val="auto"/>
                <w:sz w:val="22"/>
                <w:szCs w:val="22"/>
                <w:highlight w:val="none"/>
              </w:rPr>
              <w:t>业于</w:t>
            </w:r>
            <w:r>
              <w:rPr>
                <w:rFonts w:ascii="宋体"/>
                <w:color w:val="auto"/>
                <w:sz w:val="22"/>
                <w:szCs w:val="22"/>
                <w:highlight w:val="none"/>
              </w:rPr>
              <w:tab/>
            </w:r>
            <w:r>
              <w:rPr>
                <w:rFonts w:ascii="宋体"/>
                <w:color w:val="auto"/>
                <w:sz w:val="22"/>
                <w:szCs w:val="22"/>
                <w:highlight w:val="none"/>
              </w:rPr>
              <w:t>学校</w:t>
            </w:r>
            <w:r>
              <w:rPr>
                <w:rFonts w:ascii="宋体"/>
                <w:color w:val="auto"/>
                <w:sz w:val="22"/>
                <w:szCs w:val="22"/>
                <w:highlight w:val="none"/>
              </w:rPr>
              <w:tab/>
            </w:r>
            <w:r>
              <w:rPr>
                <w:rFonts w:ascii="宋体"/>
                <w:color w:val="auto"/>
                <w:sz w:val="22"/>
                <w:szCs w:val="22"/>
                <w:highlight w:val="none"/>
              </w:rPr>
              <w:t>专业</w:t>
            </w:r>
          </w:p>
        </w:tc>
      </w:tr>
      <w:tr w14:paraId="436D43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9565" w:type="dxa"/>
            <w:gridSpan w:val="9"/>
            <w:tcBorders>
              <w:top w:val="single" w:color="000000" w:sz="4" w:space="0"/>
              <w:left w:val="single" w:color="000000" w:sz="8" w:space="0"/>
              <w:bottom w:val="single" w:color="000000" w:sz="4" w:space="0"/>
              <w:right w:val="single" w:color="000000" w:sz="8" w:space="0"/>
            </w:tcBorders>
            <w:vAlign w:val="center"/>
          </w:tcPr>
          <w:p w14:paraId="5D03EC45">
            <w:pPr>
              <w:snapToGrid w:val="0"/>
              <w:spacing w:line="600" w:lineRule="exact"/>
              <w:ind w:firstLine="567"/>
              <w:jc w:val="center"/>
              <w:rPr>
                <w:rFonts w:ascii="宋体"/>
                <w:color w:val="auto"/>
                <w:sz w:val="22"/>
                <w:szCs w:val="22"/>
                <w:highlight w:val="none"/>
              </w:rPr>
            </w:pPr>
            <w:r>
              <w:rPr>
                <w:rFonts w:ascii="宋体"/>
                <w:color w:val="auto"/>
                <w:sz w:val="22"/>
                <w:szCs w:val="22"/>
                <w:highlight w:val="none"/>
              </w:rPr>
              <w:t>主要工作经历</w:t>
            </w:r>
          </w:p>
        </w:tc>
      </w:tr>
      <w:tr w14:paraId="78815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3C3D934A">
            <w:pPr>
              <w:snapToGrid w:val="0"/>
              <w:spacing w:line="600" w:lineRule="exact"/>
              <w:jc w:val="center"/>
              <w:rPr>
                <w:rFonts w:ascii="宋体"/>
                <w:color w:val="auto"/>
                <w:sz w:val="22"/>
                <w:szCs w:val="22"/>
                <w:highlight w:val="none"/>
              </w:rPr>
            </w:pPr>
            <w:r>
              <w:rPr>
                <w:rFonts w:ascii="宋体"/>
                <w:color w:val="auto"/>
                <w:sz w:val="22"/>
                <w:szCs w:val="22"/>
                <w:highlight w:val="none"/>
              </w:rPr>
              <w:t>时间</w:t>
            </w: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2D2F8EF6">
            <w:pPr>
              <w:snapToGrid w:val="0"/>
              <w:spacing w:line="600" w:lineRule="exact"/>
              <w:jc w:val="center"/>
              <w:rPr>
                <w:rFonts w:ascii="宋体"/>
                <w:color w:val="auto"/>
                <w:sz w:val="22"/>
                <w:szCs w:val="22"/>
                <w:highlight w:val="none"/>
              </w:rPr>
            </w:pPr>
            <w:r>
              <w:rPr>
                <w:rFonts w:ascii="宋体"/>
                <w:color w:val="auto"/>
                <w:sz w:val="22"/>
                <w:szCs w:val="22"/>
                <w:highlight w:val="none"/>
              </w:rPr>
              <w:t>参加过的类似项目</w:t>
            </w:r>
          </w:p>
        </w:tc>
        <w:tc>
          <w:tcPr>
            <w:tcW w:w="1388" w:type="dxa"/>
            <w:tcBorders>
              <w:top w:val="single" w:color="000000" w:sz="4" w:space="0"/>
              <w:left w:val="single" w:color="000000" w:sz="4" w:space="0"/>
              <w:bottom w:val="single" w:color="000000" w:sz="4" w:space="0"/>
              <w:right w:val="single" w:color="000000" w:sz="4" w:space="0"/>
            </w:tcBorders>
            <w:vAlign w:val="center"/>
          </w:tcPr>
          <w:p w14:paraId="4AB467B7">
            <w:pPr>
              <w:snapToGrid w:val="0"/>
              <w:spacing w:line="600" w:lineRule="exact"/>
              <w:jc w:val="center"/>
              <w:rPr>
                <w:rFonts w:ascii="宋体"/>
                <w:color w:val="auto"/>
                <w:sz w:val="22"/>
                <w:szCs w:val="22"/>
                <w:highlight w:val="none"/>
              </w:rPr>
            </w:pPr>
            <w:r>
              <w:rPr>
                <w:rFonts w:ascii="宋体"/>
                <w:color w:val="auto"/>
                <w:sz w:val="22"/>
                <w:szCs w:val="22"/>
                <w:highlight w:val="none"/>
              </w:rPr>
              <w:t>担任职务</w:t>
            </w: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1AE83762">
            <w:pPr>
              <w:snapToGrid w:val="0"/>
              <w:spacing w:line="600" w:lineRule="exact"/>
              <w:jc w:val="center"/>
              <w:rPr>
                <w:rFonts w:ascii="宋体"/>
                <w:color w:val="auto"/>
                <w:sz w:val="22"/>
                <w:szCs w:val="22"/>
                <w:highlight w:val="none"/>
              </w:rPr>
            </w:pPr>
            <w:r>
              <w:rPr>
                <w:rFonts w:ascii="宋体"/>
                <w:color w:val="auto"/>
                <w:sz w:val="22"/>
                <w:szCs w:val="22"/>
                <w:highlight w:val="none"/>
              </w:rPr>
              <w:t>发包人及联系电话</w:t>
            </w:r>
          </w:p>
        </w:tc>
      </w:tr>
      <w:tr w14:paraId="3CDC28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049E1459">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743B5A80">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E8CF255">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20BBFAFF">
            <w:pPr>
              <w:snapToGrid w:val="0"/>
              <w:jc w:val="center"/>
              <w:rPr>
                <w:rFonts w:ascii="宋体"/>
                <w:color w:val="auto"/>
                <w:sz w:val="22"/>
                <w:szCs w:val="22"/>
                <w:highlight w:val="none"/>
              </w:rPr>
            </w:pPr>
          </w:p>
        </w:tc>
      </w:tr>
      <w:tr w14:paraId="0B8A62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05993B23">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76E5D5A1">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E5EF481">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1292C1D7">
            <w:pPr>
              <w:snapToGrid w:val="0"/>
              <w:jc w:val="center"/>
              <w:rPr>
                <w:rFonts w:ascii="宋体"/>
                <w:color w:val="auto"/>
                <w:sz w:val="22"/>
                <w:szCs w:val="22"/>
                <w:highlight w:val="none"/>
              </w:rPr>
            </w:pPr>
          </w:p>
        </w:tc>
      </w:tr>
      <w:tr w14:paraId="33D66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4DF8B70B">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487CD3C4">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AE25D1C">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7DDD7A2F">
            <w:pPr>
              <w:snapToGrid w:val="0"/>
              <w:jc w:val="center"/>
              <w:rPr>
                <w:rFonts w:ascii="宋体"/>
                <w:color w:val="auto"/>
                <w:sz w:val="22"/>
                <w:szCs w:val="22"/>
                <w:highlight w:val="none"/>
              </w:rPr>
            </w:pPr>
          </w:p>
        </w:tc>
      </w:tr>
      <w:tr w14:paraId="17FE57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7C5F590C">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5D5419C6">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578DF52">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1810B7BE">
            <w:pPr>
              <w:snapToGrid w:val="0"/>
              <w:jc w:val="center"/>
              <w:rPr>
                <w:rFonts w:ascii="宋体"/>
                <w:color w:val="auto"/>
                <w:sz w:val="22"/>
                <w:szCs w:val="22"/>
                <w:highlight w:val="none"/>
              </w:rPr>
            </w:pPr>
          </w:p>
        </w:tc>
      </w:tr>
      <w:tr w14:paraId="386D3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64C7D68A">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27507570">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20E9E48">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2ACE9C55">
            <w:pPr>
              <w:snapToGrid w:val="0"/>
              <w:jc w:val="center"/>
              <w:rPr>
                <w:rFonts w:ascii="宋体"/>
                <w:color w:val="auto"/>
                <w:sz w:val="22"/>
                <w:szCs w:val="22"/>
                <w:highlight w:val="none"/>
              </w:rPr>
            </w:pPr>
          </w:p>
        </w:tc>
      </w:tr>
      <w:tr w14:paraId="1DF46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6E804D1B">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34BE9B8C">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EE15D7B">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1B4213F3">
            <w:pPr>
              <w:snapToGrid w:val="0"/>
              <w:jc w:val="center"/>
              <w:rPr>
                <w:rFonts w:ascii="宋体"/>
                <w:color w:val="auto"/>
                <w:sz w:val="22"/>
                <w:szCs w:val="22"/>
                <w:highlight w:val="none"/>
              </w:rPr>
            </w:pPr>
          </w:p>
        </w:tc>
      </w:tr>
      <w:tr w14:paraId="7E2EE3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1DC6E9E6">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5469A611">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234C229">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1BDABDD0">
            <w:pPr>
              <w:snapToGrid w:val="0"/>
              <w:jc w:val="center"/>
              <w:rPr>
                <w:rFonts w:ascii="宋体"/>
                <w:color w:val="auto"/>
                <w:sz w:val="22"/>
                <w:szCs w:val="22"/>
                <w:highlight w:val="none"/>
              </w:rPr>
            </w:pPr>
          </w:p>
        </w:tc>
      </w:tr>
      <w:tr w14:paraId="5C8AE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35E48187">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59A5355C">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36CEC3D">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4698995D">
            <w:pPr>
              <w:snapToGrid w:val="0"/>
              <w:jc w:val="center"/>
              <w:rPr>
                <w:rFonts w:ascii="宋体"/>
                <w:color w:val="auto"/>
                <w:sz w:val="22"/>
                <w:szCs w:val="22"/>
                <w:highlight w:val="none"/>
              </w:rPr>
            </w:pPr>
          </w:p>
        </w:tc>
      </w:tr>
      <w:tr w14:paraId="4D66DD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6218B6AB">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42FCA3C9">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321FFA1">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0D32F357">
            <w:pPr>
              <w:snapToGrid w:val="0"/>
              <w:jc w:val="center"/>
              <w:rPr>
                <w:rFonts w:ascii="宋体"/>
                <w:color w:val="auto"/>
                <w:sz w:val="22"/>
                <w:szCs w:val="22"/>
                <w:highlight w:val="none"/>
              </w:rPr>
            </w:pPr>
          </w:p>
        </w:tc>
      </w:tr>
      <w:tr w14:paraId="42C786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697AD653">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62863B36">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6365BE9">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6B85E69E">
            <w:pPr>
              <w:snapToGrid w:val="0"/>
              <w:jc w:val="center"/>
              <w:rPr>
                <w:rFonts w:ascii="宋体"/>
                <w:color w:val="auto"/>
                <w:sz w:val="22"/>
                <w:szCs w:val="22"/>
                <w:highlight w:val="none"/>
              </w:rPr>
            </w:pPr>
          </w:p>
        </w:tc>
      </w:tr>
      <w:tr w14:paraId="5F0A2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4" w:space="0"/>
              <w:right w:val="single" w:color="000000" w:sz="4" w:space="0"/>
            </w:tcBorders>
            <w:vAlign w:val="center"/>
          </w:tcPr>
          <w:p w14:paraId="1CCD1C2E">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4" w:space="0"/>
              <w:right w:val="single" w:color="000000" w:sz="4" w:space="0"/>
            </w:tcBorders>
            <w:vAlign w:val="center"/>
          </w:tcPr>
          <w:p w14:paraId="788222CD">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B4CEF27">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4" w:space="0"/>
              <w:right w:val="single" w:color="000000" w:sz="8" w:space="0"/>
            </w:tcBorders>
            <w:vAlign w:val="center"/>
          </w:tcPr>
          <w:p w14:paraId="006AE644">
            <w:pPr>
              <w:snapToGrid w:val="0"/>
              <w:jc w:val="center"/>
              <w:rPr>
                <w:rFonts w:ascii="宋体"/>
                <w:color w:val="auto"/>
                <w:sz w:val="22"/>
                <w:szCs w:val="22"/>
                <w:highlight w:val="none"/>
              </w:rPr>
            </w:pPr>
          </w:p>
        </w:tc>
      </w:tr>
      <w:tr w14:paraId="2228B9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703" w:type="dxa"/>
            <w:gridSpan w:val="2"/>
            <w:tcBorders>
              <w:top w:val="single" w:color="000000" w:sz="4" w:space="0"/>
              <w:left w:val="single" w:color="000000" w:sz="8" w:space="0"/>
              <w:bottom w:val="single" w:color="000000" w:sz="8" w:space="0"/>
              <w:right w:val="single" w:color="000000" w:sz="4" w:space="0"/>
            </w:tcBorders>
            <w:vAlign w:val="center"/>
          </w:tcPr>
          <w:p w14:paraId="39CB34BF">
            <w:pPr>
              <w:snapToGrid w:val="0"/>
              <w:jc w:val="center"/>
              <w:rPr>
                <w:rFonts w:ascii="宋体"/>
                <w:color w:val="auto"/>
                <w:sz w:val="22"/>
                <w:szCs w:val="22"/>
                <w:highlight w:val="none"/>
              </w:rPr>
            </w:pPr>
          </w:p>
        </w:tc>
        <w:tc>
          <w:tcPr>
            <w:tcW w:w="3768" w:type="dxa"/>
            <w:gridSpan w:val="4"/>
            <w:tcBorders>
              <w:top w:val="single" w:color="000000" w:sz="4" w:space="0"/>
              <w:left w:val="single" w:color="000000" w:sz="4" w:space="0"/>
              <w:bottom w:val="single" w:color="000000" w:sz="8" w:space="0"/>
              <w:right w:val="single" w:color="000000" w:sz="4" w:space="0"/>
            </w:tcBorders>
            <w:vAlign w:val="center"/>
          </w:tcPr>
          <w:p w14:paraId="2D7BB4ED">
            <w:pPr>
              <w:snapToGrid w:val="0"/>
              <w:jc w:val="center"/>
              <w:rPr>
                <w:rFonts w:ascii="宋体"/>
                <w:color w:val="auto"/>
                <w:sz w:val="22"/>
                <w:szCs w:val="22"/>
                <w:highlight w:val="none"/>
              </w:rPr>
            </w:pPr>
          </w:p>
        </w:tc>
        <w:tc>
          <w:tcPr>
            <w:tcW w:w="1388" w:type="dxa"/>
            <w:tcBorders>
              <w:top w:val="single" w:color="000000" w:sz="4" w:space="0"/>
              <w:left w:val="single" w:color="000000" w:sz="4" w:space="0"/>
              <w:bottom w:val="single" w:color="000000" w:sz="8" w:space="0"/>
              <w:right w:val="single" w:color="000000" w:sz="4" w:space="0"/>
            </w:tcBorders>
            <w:vAlign w:val="center"/>
          </w:tcPr>
          <w:p w14:paraId="4FDC89CF">
            <w:pPr>
              <w:snapToGrid w:val="0"/>
              <w:jc w:val="center"/>
              <w:rPr>
                <w:rFonts w:ascii="宋体"/>
                <w:color w:val="auto"/>
                <w:sz w:val="22"/>
                <w:szCs w:val="22"/>
                <w:highlight w:val="none"/>
              </w:rPr>
            </w:pPr>
          </w:p>
        </w:tc>
        <w:tc>
          <w:tcPr>
            <w:tcW w:w="2706" w:type="dxa"/>
            <w:gridSpan w:val="2"/>
            <w:tcBorders>
              <w:top w:val="single" w:color="000000" w:sz="4" w:space="0"/>
              <w:left w:val="single" w:color="000000" w:sz="4" w:space="0"/>
              <w:bottom w:val="single" w:color="000000" w:sz="8" w:space="0"/>
              <w:right w:val="single" w:color="000000" w:sz="8" w:space="0"/>
            </w:tcBorders>
            <w:vAlign w:val="center"/>
          </w:tcPr>
          <w:p w14:paraId="14473718">
            <w:pPr>
              <w:snapToGrid w:val="0"/>
              <w:jc w:val="center"/>
              <w:rPr>
                <w:rFonts w:ascii="宋体"/>
                <w:color w:val="auto"/>
                <w:sz w:val="22"/>
                <w:szCs w:val="22"/>
                <w:highlight w:val="none"/>
              </w:rPr>
            </w:pPr>
          </w:p>
        </w:tc>
      </w:tr>
    </w:tbl>
    <w:p w14:paraId="6A14AAC8">
      <w:pPr>
        <w:snapToGrid w:val="0"/>
        <w:spacing w:line="360" w:lineRule="auto"/>
        <w:rPr>
          <w:rFonts w:ascii="宋体"/>
          <w:color w:val="auto"/>
          <w:highlight w:val="none"/>
        </w:rPr>
      </w:pPr>
      <w:r>
        <w:rPr>
          <w:rFonts w:ascii="宋体"/>
          <w:color w:val="auto"/>
          <w:highlight w:val="none"/>
        </w:rPr>
        <w:t xml:space="preserve"> </w:t>
      </w:r>
    </w:p>
    <w:p w14:paraId="2CA40443">
      <w:pPr>
        <w:pStyle w:val="18"/>
        <w:tabs>
          <w:tab w:val="left" w:pos="0"/>
        </w:tabs>
        <w:snapToGrid w:val="0"/>
        <w:spacing w:line="400" w:lineRule="exact"/>
        <w:ind w:firstLine="2570" w:firstLineChars="800"/>
        <w:rPr>
          <w:rFonts w:ascii="宋体"/>
          <w:bCs w:val="0"/>
          <w:color w:val="auto"/>
          <w:kern w:val="0"/>
          <w:highlight w:val="none"/>
        </w:rPr>
      </w:pPr>
      <w:r>
        <w:rPr>
          <w:rFonts w:hint="eastAsia" w:ascii="宋体"/>
          <w:bCs w:val="0"/>
          <w:color w:val="auto"/>
          <w:kern w:val="0"/>
          <w:highlight w:val="none"/>
        </w:rPr>
        <w:t>（六）</w:t>
      </w:r>
      <w:r>
        <w:rPr>
          <w:rFonts w:ascii="宋体"/>
          <w:bCs w:val="0"/>
          <w:color w:val="auto"/>
          <w:kern w:val="0"/>
          <w:highlight w:val="none"/>
        </w:rPr>
        <w:t>财务要求</w:t>
      </w:r>
    </w:p>
    <w:p w14:paraId="16ADBB6E">
      <w:pPr>
        <w:snapToGrid w:val="0"/>
        <w:rPr>
          <w:color w:val="auto"/>
          <w:highlight w:val="none"/>
        </w:rPr>
      </w:pPr>
    </w:p>
    <w:p w14:paraId="2E04F6D6">
      <w:pPr>
        <w:pStyle w:val="16"/>
        <w:snapToGrid w:val="0"/>
        <w:spacing w:before="312"/>
        <w:jc w:val="center"/>
        <w:rPr>
          <w:color w:val="auto"/>
          <w:highlight w:val="none"/>
        </w:rPr>
        <w:sectPr>
          <w:pgSz w:w="11906" w:h="16838"/>
          <w:pgMar w:top="1440" w:right="1800" w:bottom="1440" w:left="1800" w:header="851" w:footer="992" w:gutter="0"/>
          <w:cols w:space="720" w:num="1"/>
          <w:docGrid w:type="lines" w:linePitch="312" w:charSpace="0"/>
        </w:sectPr>
      </w:pPr>
      <w:r>
        <w:rPr>
          <w:color w:val="auto"/>
          <w:highlight w:val="none"/>
        </w:rPr>
        <w:t>竞选人根据竞选文件要求提供</w:t>
      </w:r>
    </w:p>
    <w:p w14:paraId="7E573EC4">
      <w:pPr>
        <w:pStyle w:val="18"/>
        <w:snapToGrid w:val="0"/>
        <w:spacing w:line="400" w:lineRule="exact"/>
        <w:jc w:val="center"/>
        <w:rPr>
          <w:rFonts w:ascii="宋体"/>
          <w:bCs w:val="0"/>
          <w:color w:val="auto"/>
          <w:kern w:val="0"/>
          <w:highlight w:val="none"/>
        </w:rPr>
      </w:pPr>
      <w:r>
        <w:rPr>
          <w:rFonts w:ascii="宋体"/>
          <w:bCs w:val="0"/>
          <w:color w:val="auto"/>
          <w:kern w:val="0"/>
          <w:highlight w:val="none"/>
        </w:rPr>
        <w:t>（</w:t>
      </w:r>
      <w:r>
        <w:rPr>
          <w:rFonts w:hint="eastAsia" w:ascii="宋体"/>
          <w:bCs w:val="0"/>
          <w:color w:val="auto"/>
          <w:kern w:val="0"/>
          <w:highlight w:val="none"/>
        </w:rPr>
        <w:t>七</w:t>
      </w:r>
      <w:r>
        <w:rPr>
          <w:rFonts w:ascii="宋体"/>
          <w:bCs w:val="0"/>
          <w:color w:val="auto"/>
          <w:kern w:val="0"/>
          <w:highlight w:val="none"/>
        </w:rPr>
        <w:t>）类似项目情况表</w:t>
      </w:r>
    </w:p>
    <w:tbl>
      <w:tblPr>
        <w:tblStyle w:val="14"/>
        <w:tblpPr w:leftFromText="180" w:rightFromText="180" w:vertAnchor="text" w:horzAnchor="page" w:tblpX="655" w:tblpY="670"/>
        <w:tblOverlap w:val="never"/>
        <w:tblW w:w="977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501"/>
        <w:gridCol w:w="8278"/>
      </w:tblGrid>
      <w:tr w14:paraId="190F2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501" w:type="dxa"/>
            <w:tcBorders>
              <w:top w:val="single" w:color="000000" w:sz="8" w:space="0"/>
              <w:left w:val="single" w:color="000000" w:sz="8" w:space="0"/>
              <w:bottom w:val="single" w:color="000000" w:sz="4" w:space="0"/>
              <w:right w:val="single" w:color="000000" w:sz="4" w:space="0"/>
            </w:tcBorders>
            <w:vAlign w:val="center"/>
          </w:tcPr>
          <w:p w14:paraId="23BBA631">
            <w:pPr>
              <w:snapToGrid w:val="0"/>
              <w:jc w:val="center"/>
              <w:rPr>
                <w:rFonts w:ascii="宋体"/>
                <w:color w:val="auto"/>
                <w:sz w:val="22"/>
                <w:szCs w:val="22"/>
                <w:highlight w:val="none"/>
              </w:rPr>
            </w:pPr>
            <w:r>
              <w:rPr>
                <w:rFonts w:ascii="宋体"/>
                <w:color w:val="auto"/>
                <w:sz w:val="22"/>
                <w:szCs w:val="22"/>
                <w:highlight w:val="none"/>
              </w:rPr>
              <w:t>项目名称</w:t>
            </w:r>
          </w:p>
        </w:tc>
        <w:tc>
          <w:tcPr>
            <w:tcW w:w="8278" w:type="dxa"/>
            <w:tcBorders>
              <w:top w:val="single" w:color="000000" w:sz="8" w:space="0"/>
              <w:left w:val="single" w:color="000000" w:sz="4" w:space="0"/>
              <w:bottom w:val="single" w:color="000000" w:sz="4" w:space="0"/>
              <w:right w:val="single" w:color="000000" w:sz="8" w:space="0"/>
            </w:tcBorders>
            <w:vAlign w:val="center"/>
          </w:tcPr>
          <w:p w14:paraId="686E5EEE">
            <w:pPr>
              <w:snapToGrid w:val="0"/>
              <w:jc w:val="center"/>
              <w:rPr>
                <w:rFonts w:ascii="宋体"/>
                <w:color w:val="auto"/>
                <w:sz w:val="22"/>
                <w:szCs w:val="22"/>
                <w:highlight w:val="none"/>
              </w:rPr>
            </w:pPr>
          </w:p>
        </w:tc>
      </w:tr>
      <w:tr w14:paraId="20811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432F0C3F">
            <w:pPr>
              <w:snapToGrid w:val="0"/>
              <w:jc w:val="center"/>
              <w:rPr>
                <w:rFonts w:ascii="宋体"/>
                <w:color w:val="auto"/>
                <w:sz w:val="22"/>
                <w:szCs w:val="22"/>
                <w:highlight w:val="none"/>
              </w:rPr>
            </w:pPr>
            <w:r>
              <w:rPr>
                <w:rFonts w:ascii="宋体"/>
                <w:color w:val="auto"/>
                <w:sz w:val="22"/>
                <w:szCs w:val="22"/>
                <w:highlight w:val="none"/>
              </w:rPr>
              <w:t>项目所在地</w:t>
            </w:r>
          </w:p>
        </w:tc>
        <w:tc>
          <w:tcPr>
            <w:tcW w:w="8278" w:type="dxa"/>
            <w:tcBorders>
              <w:top w:val="single" w:color="000000" w:sz="4" w:space="0"/>
              <w:left w:val="single" w:color="000000" w:sz="4" w:space="0"/>
              <w:bottom w:val="single" w:color="000000" w:sz="4" w:space="0"/>
              <w:right w:val="single" w:color="000000" w:sz="8" w:space="0"/>
            </w:tcBorders>
            <w:vAlign w:val="center"/>
          </w:tcPr>
          <w:p w14:paraId="6117A67B">
            <w:pPr>
              <w:snapToGrid w:val="0"/>
              <w:jc w:val="center"/>
              <w:rPr>
                <w:rFonts w:ascii="宋体"/>
                <w:color w:val="auto"/>
                <w:sz w:val="22"/>
                <w:szCs w:val="22"/>
                <w:highlight w:val="none"/>
              </w:rPr>
            </w:pPr>
          </w:p>
        </w:tc>
      </w:tr>
      <w:tr w14:paraId="5EA1A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441865C5">
            <w:pPr>
              <w:snapToGrid w:val="0"/>
              <w:spacing w:line="600" w:lineRule="exact"/>
              <w:jc w:val="center"/>
              <w:rPr>
                <w:rFonts w:ascii="宋体"/>
                <w:color w:val="auto"/>
                <w:sz w:val="22"/>
                <w:szCs w:val="22"/>
                <w:highlight w:val="none"/>
              </w:rPr>
            </w:pPr>
            <w:r>
              <w:rPr>
                <w:rFonts w:ascii="宋体"/>
                <w:color w:val="auto"/>
                <w:sz w:val="22"/>
                <w:szCs w:val="22"/>
                <w:highlight w:val="none"/>
              </w:rPr>
              <w:t>发包人名称</w:t>
            </w:r>
          </w:p>
        </w:tc>
        <w:tc>
          <w:tcPr>
            <w:tcW w:w="8278" w:type="dxa"/>
            <w:tcBorders>
              <w:top w:val="single" w:color="000000" w:sz="4" w:space="0"/>
              <w:left w:val="single" w:color="000000" w:sz="4" w:space="0"/>
              <w:bottom w:val="single" w:color="000000" w:sz="4" w:space="0"/>
              <w:right w:val="single" w:color="000000" w:sz="8" w:space="0"/>
            </w:tcBorders>
            <w:vAlign w:val="center"/>
          </w:tcPr>
          <w:p w14:paraId="31BE73DD">
            <w:pPr>
              <w:snapToGrid w:val="0"/>
              <w:jc w:val="center"/>
              <w:rPr>
                <w:rFonts w:ascii="宋体"/>
                <w:color w:val="auto"/>
                <w:sz w:val="22"/>
                <w:szCs w:val="22"/>
                <w:highlight w:val="none"/>
              </w:rPr>
            </w:pPr>
          </w:p>
        </w:tc>
      </w:tr>
      <w:tr w14:paraId="502A4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279035FF">
            <w:pPr>
              <w:snapToGrid w:val="0"/>
              <w:spacing w:line="600" w:lineRule="exact"/>
              <w:jc w:val="center"/>
              <w:rPr>
                <w:rFonts w:ascii="宋体"/>
                <w:color w:val="auto"/>
                <w:sz w:val="22"/>
                <w:szCs w:val="22"/>
                <w:highlight w:val="none"/>
              </w:rPr>
            </w:pPr>
            <w:r>
              <w:rPr>
                <w:rFonts w:ascii="宋体"/>
                <w:color w:val="auto"/>
                <w:sz w:val="22"/>
                <w:szCs w:val="22"/>
                <w:highlight w:val="none"/>
              </w:rPr>
              <w:t>发包人地址</w:t>
            </w:r>
          </w:p>
        </w:tc>
        <w:tc>
          <w:tcPr>
            <w:tcW w:w="8278" w:type="dxa"/>
            <w:tcBorders>
              <w:top w:val="single" w:color="000000" w:sz="4" w:space="0"/>
              <w:left w:val="single" w:color="000000" w:sz="4" w:space="0"/>
              <w:bottom w:val="single" w:color="000000" w:sz="4" w:space="0"/>
              <w:right w:val="single" w:color="000000" w:sz="8" w:space="0"/>
            </w:tcBorders>
            <w:vAlign w:val="center"/>
          </w:tcPr>
          <w:p w14:paraId="0AA6D8AD">
            <w:pPr>
              <w:snapToGrid w:val="0"/>
              <w:jc w:val="center"/>
              <w:rPr>
                <w:rFonts w:ascii="宋体"/>
                <w:color w:val="auto"/>
                <w:sz w:val="22"/>
                <w:szCs w:val="22"/>
                <w:highlight w:val="none"/>
              </w:rPr>
            </w:pPr>
          </w:p>
        </w:tc>
      </w:tr>
      <w:tr w14:paraId="66752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04E4C294">
            <w:pPr>
              <w:snapToGrid w:val="0"/>
              <w:spacing w:line="600" w:lineRule="exact"/>
              <w:jc w:val="center"/>
              <w:rPr>
                <w:rFonts w:ascii="宋体"/>
                <w:color w:val="auto"/>
                <w:sz w:val="22"/>
                <w:szCs w:val="22"/>
                <w:highlight w:val="none"/>
              </w:rPr>
            </w:pPr>
            <w:r>
              <w:rPr>
                <w:rFonts w:ascii="宋体"/>
                <w:color w:val="auto"/>
                <w:sz w:val="22"/>
                <w:szCs w:val="22"/>
                <w:highlight w:val="none"/>
              </w:rPr>
              <w:t>发包人电话</w:t>
            </w:r>
          </w:p>
        </w:tc>
        <w:tc>
          <w:tcPr>
            <w:tcW w:w="8278" w:type="dxa"/>
            <w:tcBorders>
              <w:top w:val="single" w:color="000000" w:sz="4" w:space="0"/>
              <w:left w:val="single" w:color="000000" w:sz="4" w:space="0"/>
              <w:bottom w:val="single" w:color="000000" w:sz="4" w:space="0"/>
              <w:right w:val="single" w:color="000000" w:sz="8" w:space="0"/>
            </w:tcBorders>
            <w:vAlign w:val="center"/>
          </w:tcPr>
          <w:p w14:paraId="4420CFDF">
            <w:pPr>
              <w:snapToGrid w:val="0"/>
              <w:jc w:val="center"/>
              <w:rPr>
                <w:rFonts w:ascii="宋体"/>
                <w:color w:val="auto"/>
                <w:sz w:val="22"/>
                <w:szCs w:val="22"/>
                <w:highlight w:val="none"/>
              </w:rPr>
            </w:pPr>
          </w:p>
        </w:tc>
      </w:tr>
      <w:tr w14:paraId="7BB65B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05E3667C">
            <w:pPr>
              <w:snapToGrid w:val="0"/>
              <w:spacing w:line="600" w:lineRule="exact"/>
              <w:jc w:val="center"/>
              <w:rPr>
                <w:rFonts w:ascii="宋体"/>
                <w:color w:val="auto"/>
                <w:sz w:val="22"/>
                <w:szCs w:val="22"/>
                <w:highlight w:val="none"/>
              </w:rPr>
            </w:pPr>
            <w:r>
              <w:rPr>
                <w:rFonts w:ascii="宋体"/>
                <w:color w:val="auto"/>
                <w:sz w:val="22"/>
                <w:szCs w:val="22"/>
                <w:highlight w:val="none"/>
              </w:rPr>
              <w:t>合同价格</w:t>
            </w:r>
          </w:p>
        </w:tc>
        <w:tc>
          <w:tcPr>
            <w:tcW w:w="8278" w:type="dxa"/>
            <w:tcBorders>
              <w:top w:val="single" w:color="000000" w:sz="4" w:space="0"/>
              <w:left w:val="single" w:color="000000" w:sz="4" w:space="0"/>
              <w:bottom w:val="single" w:color="000000" w:sz="4" w:space="0"/>
              <w:right w:val="single" w:color="000000" w:sz="8" w:space="0"/>
            </w:tcBorders>
            <w:vAlign w:val="center"/>
          </w:tcPr>
          <w:p w14:paraId="7A22FDCF">
            <w:pPr>
              <w:snapToGrid w:val="0"/>
              <w:jc w:val="center"/>
              <w:rPr>
                <w:rFonts w:ascii="宋体"/>
                <w:color w:val="auto"/>
                <w:sz w:val="22"/>
                <w:szCs w:val="22"/>
                <w:highlight w:val="none"/>
              </w:rPr>
            </w:pPr>
          </w:p>
        </w:tc>
      </w:tr>
      <w:tr w14:paraId="6402A0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4048EBF2">
            <w:pPr>
              <w:snapToGrid w:val="0"/>
              <w:spacing w:line="600" w:lineRule="exact"/>
              <w:jc w:val="center"/>
              <w:rPr>
                <w:rFonts w:ascii="宋体"/>
                <w:color w:val="auto"/>
                <w:sz w:val="22"/>
                <w:szCs w:val="22"/>
                <w:highlight w:val="none"/>
              </w:rPr>
            </w:pPr>
            <w:r>
              <w:rPr>
                <w:rFonts w:ascii="宋体"/>
                <w:color w:val="auto"/>
                <w:sz w:val="22"/>
                <w:szCs w:val="22"/>
                <w:highlight w:val="none"/>
              </w:rPr>
              <w:t>开工日期</w:t>
            </w:r>
          </w:p>
        </w:tc>
        <w:tc>
          <w:tcPr>
            <w:tcW w:w="8278" w:type="dxa"/>
            <w:tcBorders>
              <w:top w:val="single" w:color="000000" w:sz="4" w:space="0"/>
              <w:left w:val="single" w:color="000000" w:sz="4" w:space="0"/>
              <w:bottom w:val="single" w:color="000000" w:sz="4" w:space="0"/>
              <w:right w:val="single" w:color="000000" w:sz="8" w:space="0"/>
            </w:tcBorders>
            <w:vAlign w:val="center"/>
          </w:tcPr>
          <w:p w14:paraId="0BBDC811">
            <w:pPr>
              <w:snapToGrid w:val="0"/>
              <w:jc w:val="center"/>
              <w:rPr>
                <w:rFonts w:ascii="宋体"/>
                <w:color w:val="auto"/>
                <w:sz w:val="22"/>
                <w:szCs w:val="22"/>
                <w:highlight w:val="none"/>
              </w:rPr>
            </w:pPr>
          </w:p>
        </w:tc>
      </w:tr>
      <w:tr w14:paraId="3C9570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058E27F4">
            <w:pPr>
              <w:snapToGrid w:val="0"/>
              <w:spacing w:line="600" w:lineRule="exact"/>
              <w:jc w:val="center"/>
              <w:rPr>
                <w:rFonts w:ascii="宋体"/>
                <w:color w:val="auto"/>
                <w:sz w:val="22"/>
                <w:szCs w:val="22"/>
                <w:highlight w:val="none"/>
              </w:rPr>
            </w:pPr>
            <w:r>
              <w:rPr>
                <w:rFonts w:ascii="宋体"/>
                <w:color w:val="auto"/>
                <w:sz w:val="22"/>
                <w:szCs w:val="22"/>
                <w:highlight w:val="none"/>
              </w:rPr>
              <w:t>竣工日期</w:t>
            </w:r>
          </w:p>
        </w:tc>
        <w:tc>
          <w:tcPr>
            <w:tcW w:w="8278" w:type="dxa"/>
            <w:tcBorders>
              <w:top w:val="single" w:color="000000" w:sz="4" w:space="0"/>
              <w:left w:val="single" w:color="000000" w:sz="4" w:space="0"/>
              <w:bottom w:val="single" w:color="000000" w:sz="4" w:space="0"/>
              <w:right w:val="single" w:color="000000" w:sz="8" w:space="0"/>
            </w:tcBorders>
            <w:vAlign w:val="center"/>
          </w:tcPr>
          <w:p w14:paraId="1F7B19BB">
            <w:pPr>
              <w:snapToGrid w:val="0"/>
              <w:jc w:val="center"/>
              <w:rPr>
                <w:rFonts w:ascii="宋体"/>
                <w:color w:val="auto"/>
                <w:sz w:val="22"/>
                <w:szCs w:val="22"/>
                <w:highlight w:val="none"/>
              </w:rPr>
            </w:pPr>
          </w:p>
        </w:tc>
      </w:tr>
      <w:tr w14:paraId="703E2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44B97BD9">
            <w:pPr>
              <w:snapToGrid w:val="0"/>
              <w:spacing w:line="600" w:lineRule="exact"/>
              <w:jc w:val="center"/>
              <w:rPr>
                <w:rFonts w:ascii="宋体"/>
                <w:color w:val="auto"/>
                <w:sz w:val="22"/>
                <w:szCs w:val="22"/>
                <w:highlight w:val="none"/>
              </w:rPr>
            </w:pPr>
            <w:r>
              <w:rPr>
                <w:rFonts w:ascii="宋体"/>
                <w:color w:val="auto"/>
                <w:sz w:val="22"/>
                <w:szCs w:val="22"/>
                <w:highlight w:val="none"/>
              </w:rPr>
              <w:t>承担的工作</w:t>
            </w:r>
          </w:p>
        </w:tc>
        <w:tc>
          <w:tcPr>
            <w:tcW w:w="8278" w:type="dxa"/>
            <w:tcBorders>
              <w:top w:val="single" w:color="000000" w:sz="4" w:space="0"/>
              <w:left w:val="single" w:color="000000" w:sz="4" w:space="0"/>
              <w:bottom w:val="single" w:color="000000" w:sz="4" w:space="0"/>
              <w:right w:val="single" w:color="000000" w:sz="8" w:space="0"/>
            </w:tcBorders>
            <w:vAlign w:val="center"/>
          </w:tcPr>
          <w:p w14:paraId="33478954">
            <w:pPr>
              <w:snapToGrid w:val="0"/>
              <w:jc w:val="center"/>
              <w:rPr>
                <w:rFonts w:ascii="宋体"/>
                <w:color w:val="auto"/>
                <w:sz w:val="22"/>
                <w:szCs w:val="22"/>
                <w:highlight w:val="none"/>
              </w:rPr>
            </w:pPr>
          </w:p>
        </w:tc>
      </w:tr>
      <w:tr w14:paraId="51760A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319EC76D">
            <w:pPr>
              <w:snapToGrid w:val="0"/>
              <w:spacing w:line="600" w:lineRule="exact"/>
              <w:jc w:val="center"/>
              <w:rPr>
                <w:rFonts w:ascii="宋体"/>
                <w:color w:val="auto"/>
                <w:sz w:val="22"/>
                <w:szCs w:val="22"/>
                <w:highlight w:val="none"/>
              </w:rPr>
            </w:pPr>
            <w:r>
              <w:rPr>
                <w:rFonts w:ascii="宋体"/>
                <w:color w:val="auto"/>
                <w:sz w:val="22"/>
                <w:szCs w:val="22"/>
                <w:highlight w:val="none"/>
              </w:rPr>
              <w:t>工程质量</w:t>
            </w:r>
          </w:p>
        </w:tc>
        <w:tc>
          <w:tcPr>
            <w:tcW w:w="8278" w:type="dxa"/>
            <w:tcBorders>
              <w:top w:val="single" w:color="000000" w:sz="4" w:space="0"/>
              <w:left w:val="single" w:color="000000" w:sz="4" w:space="0"/>
              <w:bottom w:val="single" w:color="000000" w:sz="4" w:space="0"/>
              <w:right w:val="single" w:color="000000" w:sz="8" w:space="0"/>
            </w:tcBorders>
            <w:vAlign w:val="center"/>
          </w:tcPr>
          <w:p w14:paraId="54605336">
            <w:pPr>
              <w:snapToGrid w:val="0"/>
              <w:jc w:val="center"/>
              <w:rPr>
                <w:rFonts w:ascii="宋体"/>
                <w:color w:val="auto"/>
                <w:sz w:val="22"/>
                <w:szCs w:val="22"/>
                <w:highlight w:val="none"/>
              </w:rPr>
            </w:pPr>
          </w:p>
        </w:tc>
      </w:tr>
      <w:tr w14:paraId="499207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7200D937">
            <w:pPr>
              <w:snapToGrid w:val="0"/>
              <w:spacing w:line="600" w:lineRule="exact"/>
              <w:jc w:val="center"/>
              <w:rPr>
                <w:rFonts w:ascii="宋体"/>
                <w:color w:val="auto"/>
                <w:sz w:val="22"/>
                <w:szCs w:val="22"/>
                <w:highlight w:val="none"/>
              </w:rPr>
            </w:pPr>
            <w:r>
              <w:rPr>
                <w:rFonts w:ascii="宋体"/>
                <w:color w:val="auto"/>
                <w:sz w:val="22"/>
                <w:szCs w:val="22"/>
                <w:highlight w:val="none"/>
              </w:rPr>
              <w:t>项目负责人</w:t>
            </w:r>
          </w:p>
        </w:tc>
        <w:tc>
          <w:tcPr>
            <w:tcW w:w="8278" w:type="dxa"/>
            <w:tcBorders>
              <w:top w:val="single" w:color="000000" w:sz="4" w:space="0"/>
              <w:left w:val="single" w:color="000000" w:sz="4" w:space="0"/>
              <w:bottom w:val="single" w:color="000000" w:sz="4" w:space="0"/>
              <w:right w:val="single" w:color="000000" w:sz="8" w:space="0"/>
            </w:tcBorders>
            <w:vAlign w:val="center"/>
          </w:tcPr>
          <w:p w14:paraId="32C71F64">
            <w:pPr>
              <w:snapToGrid w:val="0"/>
              <w:jc w:val="center"/>
              <w:rPr>
                <w:rFonts w:ascii="宋体"/>
                <w:color w:val="auto"/>
                <w:sz w:val="22"/>
                <w:szCs w:val="22"/>
                <w:highlight w:val="none"/>
              </w:rPr>
            </w:pPr>
          </w:p>
        </w:tc>
      </w:tr>
      <w:tr w14:paraId="558E8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7B92E0BC">
            <w:pPr>
              <w:snapToGrid w:val="0"/>
              <w:spacing w:line="600" w:lineRule="exact"/>
              <w:jc w:val="center"/>
              <w:rPr>
                <w:rFonts w:ascii="宋体"/>
                <w:color w:val="auto"/>
                <w:sz w:val="22"/>
                <w:szCs w:val="22"/>
                <w:highlight w:val="none"/>
              </w:rPr>
            </w:pPr>
            <w:r>
              <w:rPr>
                <w:rFonts w:ascii="宋体"/>
                <w:color w:val="auto"/>
                <w:sz w:val="22"/>
                <w:szCs w:val="22"/>
                <w:highlight w:val="none"/>
              </w:rPr>
              <w:t>技术负责人</w:t>
            </w:r>
          </w:p>
        </w:tc>
        <w:tc>
          <w:tcPr>
            <w:tcW w:w="8278" w:type="dxa"/>
            <w:tcBorders>
              <w:top w:val="single" w:color="000000" w:sz="4" w:space="0"/>
              <w:left w:val="single" w:color="000000" w:sz="4" w:space="0"/>
              <w:bottom w:val="single" w:color="000000" w:sz="4" w:space="0"/>
              <w:right w:val="single" w:color="000000" w:sz="8" w:space="0"/>
            </w:tcBorders>
            <w:vAlign w:val="center"/>
          </w:tcPr>
          <w:p w14:paraId="021D1BF5">
            <w:pPr>
              <w:snapToGrid w:val="0"/>
              <w:jc w:val="center"/>
              <w:rPr>
                <w:rFonts w:ascii="宋体"/>
                <w:color w:val="auto"/>
                <w:sz w:val="22"/>
                <w:szCs w:val="22"/>
                <w:highlight w:val="none"/>
              </w:rPr>
            </w:pPr>
          </w:p>
        </w:tc>
      </w:tr>
      <w:tr w14:paraId="1921BF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55BAF1AA">
            <w:pPr>
              <w:snapToGrid w:val="0"/>
              <w:spacing w:line="600" w:lineRule="exact"/>
              <w:jc w:val="center"/>
              <w:rPr>
                <w:rFonts w:ascii="宋体"/>
                <w:color w:val="auto"/>
                <w:sz w:val="22"/>
                <w:szCs w:val="22"/>
                <w:highlight w:val="none"/>
              </w:rPr>
            </w:pPr>
            <w:r>
              <w:rPr>
                <w:rFonts w:ascii="宋体"/>
                <w:color w:val="auto"/>
                <w:sz w:val="22"/>
                <w:szCs w:val="22"/>
                <w:highlight w:val="none"/>
              </w:rPr>
              <w:t>总监理工程师及电话</w:t>
            </w:r>
          </w:p>
        </w:tc>
        <w:tc>
          <w:tcPr>
            <w:tcW w:w="8278" w:type="dxa"/>
            <w:tcBorders>
              <w:top w:val="single" w:color="000000" w:sz="4" w:space="0"/>
              <w:left w:val="single" w:color="000000" w:sz="4" w:space="0"/>
              <w:bottom w:val="single" w:color="000000" w:sz="4" w:space="0"/>
              <w:right w:val="single" w:color="000000" w:sz="8" w:space="0"/>
            </w:tcBorders>
            <w:vAlign w:val="center"/>
          </w:tcPr>
          <w:p w14:paraId="4E58FB15">
            <w:pPr>
              <w:snapToGrid w:val="0"/>
              <w:jc w:val="center"/>
              <w:rPr>
                <w:rFonts w:ascii="宋体"/>
                <w:color w:val="auto"/>
                <w:sz w:val="22"/>
                <w:szCs w:val="22"/>
                <w:highlight w:val="none"/>
              </w:rPr>
            </w:pPr>
          </w:p>
        </w:tc>
      </w:tr>
      <w:tr w14:paraId="3ED726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1501" w:type="dxa"/>
            <w:tcBorders>
              <w:top w:val="single" w:color="000000" w:sz="4" w:space="0"/>
              <w:left w:val="single" w:color="000000" w:sz="8" w:space="0"/>
              <w:bottom w:val="single" w:color="000000" w:sz="4" w:space="0"/>
              <w:right w:val="single" w:color="000000" w:sz="4" w:space="0"/>
            </w:tcBorders>
            <w:vAlign w:val="center"/>
          </w:tcPr>
          <w:p w14:paraId="726C8F11">
            <w:pPr>
              <w:snapToGrid w:val="0"/>
              <w:spacing w:line="600" w:lineRule="exact"/>
              <w:jc w:val="center"/>
              <w:rPr>
                <w:rFonts w:ascii="宋体"/>
                <w:color w:val="auto"/>
                <w:sz w:val="22"/>
                <w:szCs w:val="22"/>
                <w:highlight w:val="none"/>
              </w:rPr>
            </w:pPr>
            <w:r>
              <w:rPr>
                <w:rFonts w:ascii="宋体"/>
                <w:color w:val="auto"/>
                <w:sz w:val="22"/>
                <w:szCs w:val="22"/>
                <w:highlight w:val="none"/>
              </w:rPr>
              <w:t>项目描述</w:t>
            </w:r>
          </w:p>
        </w:tc>
        <w:tc>
          <w:tcPr>
            <w:tcW w:w="8278" w:type="dxa"/>
            <w:tcBorders>
              <w:top w:val="single" w:color="000000" w:sz="4" w:space="0"/>
              <w:left w:val="single" w:color="000000" w:sz="4" w:space="0"/>
              <w:bottom w:val="single" w:color="000000" w:sz="4" w:space="0"/>
              <w:right w:val="single" w:color="000000" w:sz="8" w:space="0"/>
            </w:tcBorders>
            <w:vAlign w:val="center"/>
          </w:tcPr>
          <w:p w14:paraId="3D399B16">
            <w:pPr>
              <w:snapToGrid w:val="0"/>
              <w:jc w:val="center"/>
              <w:rPr>
                <w:rFonts w:ascii="宋体"/>
                <w:color w:val="auto"/>
                <w:sz w:val="22"/>
                <w:szCs w:val="22"/>
                <w:highlight w:val="none"/>
              </w:rPr>
            </w:pPr>
          </w:p>
        </w:tc>
      </w:tr>
      <w:tr w14:paraId="233B46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501" w:type="dxa"/>
            <w:tcBorders>
              <w:top w:val="single" w:color="000000" w:sz="4" w:space="0"/>
              <w:left w:val="single" w:color="000000" w:sz="8" w:space="0"/>
              <w:bottom w:val="single" w:color="000000" w:sz="8" w:space="0"/>
              <w:right w:val="single" w:color="000000" w:sz="4" w:space="0"/>
            </w:tcBorders>
            <w:vAlign w:val="center"/>
          </w:tcPr>
          <w:p w14:paraId="0300EEBE">
            <w:pPr>
              <w:snapToGrid w:val="0"/>
              <w:spacing w:line="600" w:lineRule="exact"/>
              <w:jc w:val="center"/>
              <w:rPr>
                <w:rFonts w:ascii="宋体"/>
                <w:color w:val="auto"/>
                <w:sz w:val="22"/>
                <w:szCs w:val="22"/>
                <w:highlight w:val="none"/>
              </w:rPr>
            </w:pPr>
            <w:r>
              <w:rPr>
                <w:rFonts w:ascii="宋体"/>
                <w:color w:val="auto"/>
                <w:sz w:val="22"/>
                <w:szCs w:val="22"/>
                <w:highlight w:val="none"/>
              </w:rPr>
              <w:t>备注</w:t>
            </w:r>
          </w:p>
        </w:tc>
        <w:tc>
          <w:tcPr>
            <w:tcW w:w="8278" w:type="dxa"/>
            <w:tcBorders>
              <w:top w:val="single" w:color="000000" w:sz="4" w:space="0"/>
              <w:left w:val="single" w:color="000000" w:sz="4" w:space="0"/>
              <w:bottom w:val="single" w:color="000000" w:sz="8" w:space="0"/>
              <w:right w:val="single" w:color="000000" w:sz="8" w:space="0"/>
            </w:tcBorders>
            <w:vAlign w:val="center"/>
          </w:tcPr>
          <w:p w14:paraId="16433A5D">
            <w:pPr>
              <w:snapToGrid w:val="0"/>
              <w:jc w:val="center"/>
              <w:rPr>
                <w:rFonts w:ascii="宋体"/>
                <w:color w:val="auto"/>
                <w:sz w:val="22"/>
                <w:szCs w:val="22"/>
                <w:highlight w:val="none"/>
              </w:rPr>
            </w:pPr>
          </w:p>
        </w:tc>
      </w:tr>
    </w:tbl>
    <w:p w14:paraId="6164CC1F">
      <w:pPr>
        <w:snapToGrid w:val="0"/>
        <w:jc w:val="center"/>
        <w:rPr>
          <w:rFonts w:ascii="宋体"/>
          <w:bCs w:val="0"/>
          <w:color w:val="auto"/>
          <w:kern w:val="0"/>
          <w:highlight w:val="none"/>
        </w:rPr>
      </w:pPr>
      <w:r>
        <w:rPr>
          <w:rFonts w:ascii="宋体"/>
          <w:bCs w:val="0"/>
          <w:color w:val="auto"/>
          <w:kern w:val="0"/>
          <w:highlight w:val="none"/>
        </w:rPr>
        <w:br w:type="page"/>
      </w:r>
    </w:p>
    <w:p w14:paraId="76CA13AA">
      <w:pPr>
        <w:pStyle w:val="18"/>
        <w:snapToGrid w:val="0"/>
        <w:jc w:val="center"/>
        <w:rPr>
          <w:rFonts w:ascii="宋体"/>
          <w:bCs w:val="0"/>
          <w:color w:val="auto"/>
          <w:kern w:val="0"/>
          <w:highlight w:val="none"/>
        </w:rPr>
      </w:pPr>
      <w:r>
        <w:rPr>
          <w:rFonts w:ascii="宋体"/>
          <w:bCs w:val="0"/>
          <w:color w:val="auto"/>
          <w:kern w:val="0"/>
          <w:highlight w:val="none"/>
        </w:rPr>
        <w:t>（</w:t>
      </w:r>
      <w:r>
        <w:rPr>
          <w:rFonts w:hint="eastAsia" w:ascii="宋体"/>
          <w:bCs w:val="0"/>
          <w:color w:val="auto"/>
          <w:kern w:val="0"/>
          <w:highlight w:val="none"/>
        </w:rPr>
        <w:t>八</w:t>
      </w:r>
      <w:r>
        <w:rPr>
          <w:rFonts w:ascii="宋体"/>
          <w:bCs w:val="0"/>
          <w:color w:val="auto"/>
          <w:kern w:val="0"/>
          <w:highlight w:val="none"/>
        </w:rPr>
        <w:t>）承诺</w:t>
      </w:r>
    </w:p>
    <w:p w14:paraId="4AFE32EC">
      <w:pPr>
        <w:snapToGrid w:val="0"/>
        <w:jc w:val="center"/>
        <w:rPr>
          <w:rFonts w:ascii="宋体"/>
          <w:bCs w:val="0"/>
          <w:color w:val="auto"/>
          <w:kern w:val="0"/>
          <w:highlight w:val="none"/>
        </w:rPr>
      </w:pPr>
      <w:r>
        <w:rPr>
          <w:rFonts w:ascii="宋体"/>
          <w:bCs w:val="0"/>
          <w:color w:val="auto"/>
          <w:kern w:val="0"/>
          <w:highlight w:val="none"/>
        </w:rPr>
        <w:br w:type="page"/>
      </w:r>
    </w:p>
    <w:p w14:paraId="71B2888D">
      <w:pPr>
        <w:pStyle w:val="18"/>
        <w:snapToGrid w:val="0"/>
        <w:spacing w:before="0" w:line="520" w:lineRule="exact"/>
        <w:jc w:val="center"/>
        <w:rPr>
          <w:rFonts w:ascii="宋体"/>
          <w:color w:val="auto"/>
          <w:highlight w:val="none"/>
        </w:rPr>
      </w:pPr>
      <w:r>
        <w:rPr>
          <w:rFonts w:hint="eastAsia" w:ascii="宋体"/>
          <w:bCs w:val="0"/>
          <w:color w:val="auto"/>
          <w:kern w:val="0"/>
          <w:highlight w:val="none"/>
          <w:lang w:eastAsia="zh-CN"/>
        </w:rPr>
        <w:t>（九）</w:t>
      </w:r>
      <w:r>
        <w:rPr>
          <w:rFonts w:ascii="宋体"/>
          <w:bCs w:val="0"/>
          <w:color w:val="auto"/>
          <w:kern w:val="0"/>
          <w:highlight w:val="none"/>
        </w:rPr>
        <w:t>其他资料</w:t>
      </w:r>
    </w:p>
    <w:p w14:paraId="1C93121F">
      <w:pPr>
        <w:snapToGrid w:val="0"/>
        <w:rPr>
          <w:color w:val="auto"/>
          <w:highlight w:val="none"/>
        </w:rPr>
      </w:pPr>
    </w:p>
    <w:p w14:paraId="7CC97154">
      <w:pPr>
        <w:snapToGrid w:val="0"/>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19A6">
    <w:pPr>
      <w:spacing w:line="123" w:lineRule="exact"/>
      <w:ind w:firstLine="4651"/>
      <w:rPr>
        <w:sz w:val="18"/>
        <w:szCs w:val="18"/>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-39847520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A6AA7FB">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3137.6pt;height:10.35pt;width:9pt;mso-position-horizontal:center;mso-position-horizontal-relative:margin;mso-wrap-style:none;z-index:251659264;mso-width-relative:page;mso-height-relative:page;" filled="f" stroked="f" coordsize="21600,21600" o:gfxdata="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x0VwLcAAAACwEAAA8AAAAAAAAAAQAgAAAAIgAAAGRy&#10;cy9kb3ducmV2LnhtbFBLAQIUABQAAAAIAIdO4kAg3UEnAQIAAPQDAAAOAAAAAAAAAAEAIAAAACsB&#10;AABkcnMvZTJvRG9jLnhtbFBLBQYAAAAABgAGAFkBAACeBQAAAAA=&#10;">
              <v:fill on="f" focussize="0,0"/>
              <v:stroke on="f" weight="0.5pt" joinstyle="round"/>
              <v:imagedata o:title=""/>
              <o:lock v:ext="edit" aspectratio="f"/>
              <v:textbox inset="0mm,0mm,0mm,0mm" style="mso-fit-shape-to-text:t;">
                <w:txbxContent>
                  <w:p w14:paraId="1A6AA7FB">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2C51">
    <w:pPr>
      <w:pStyle w:val="8"/>
      <w:tabs>
        <w:tab w:val="center" w:pos="4153"/>
        <w:tab w:val="right" w:pos="8306"/>
      </w:tabs>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415F6245">
                          <w:pPr>
                            <w:pStyle w:val="8"/>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dd90bwMCAAD0AwAADgAAAAAAAAABACAAAAAkAQAAZHJz&#10;L2Uyb0RvYy54bWxQSwUGAAAAAAYABgBZAQAAmQUAAAAA&#10;">
              <v:fill on="f" focussize="0,0"/>
              <v:stroke on="f" weight="0.5pt" joinstyle="round"/>
              <v:imagedata o:title=""/>
              <o:lock v:ext="edit" aspectratio="f"/>
              <v:textbox inset="0mm,0mm,0mm,0mm" style="mso-fit-shape-to-text:t;">
                <w:txbxContent>
                  <w:p w14:paraId="415F6245">
                    <w:pPr>
                      <w:pStyle w:val="8"/>
                    </w:pPr>
                    <w:r>
                      <w:fldChar w:fldCharType="begin"/>
                    </w:r>
                    <w:r>
                      <w:instrText xml:space="preserve"> PAGE  \* MERGEFORMAT </w:instrText>
                    </w:r>
                    <w:r>
                      <w:fldChar w:fldCharType="separate"/>
                    </w:r>
                    <w:r>
                      <w:t>37</w:t>
                    </w:r>
                    <w:r>
                      <w:fldChar w:fldCharType="end"/>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矩形"/>
              <wp:cNvGraphicFramePr/>
              <a:graphic xmlns:a="http://schemas.openxmlformats.org/drawingml/2006/main">
                <a:graphicData uri="http://schemas.microsoft.com/office/word/2010/wordprocessingShape">
                  <wps:wsp>
                    <wps:cNvSpPr/>
                    <wps:spPr>
                      <a:xfrm>
                        <a:off x="0" y="0"/>
                        <a:ext cx="116204" cy="139700"/>
                      </a:xfrm>
                      <a:prstGeom prst="rect">
                        <a:avLst/>
                      </a:prstGeom>
                      <a:noFill/>
                      <a:ln w="9525" cap="flat" cmpd="sng">
                        <a:noFill/>
                        <a:prstDash val="solid"/>
                        <a:miter/>
                      </a:ln>
                    </wps:spPr>
                    <wps:txbx>
                      <w:txbxContent>
                        <w:p w14:paraId="30D8C432">
                          <w:pPr>
                            <w:pStyle w:val="8"/>
                            <w:tabs>
                              <w:tab w:val="center" w:pos="4153"/>
                              <w:tab w:val="right" w:pos="8306"/>
                            </w:tabs>
                          </w:pPr>
                        </w:p>
                        <w:p w14:paraId="0ADC2586"/>
                      </w:txbxContent>
                    </wps:txbx>
                    <wps:bodyPr vert="horz" wrap="square" lIns="0" tIns="0" rIns="0" bIns="0" anchor="t" anchorCtr="0" upright="1">
                      <a:noAutofit/>
                    </wps:bodyPr>
                  </wps:wsp>
                </a:graphicData>
              </a:graphic>
            </wp:anchor>
          </w:drawing>
        </mc:Choice>
        <mc:Fallback>
          <w:pict>
            <v:rect id="矩形" o:spid="_x0000_s1026" o:spt="1" style="position:absolute;left:0pt;margin-top:0pt;height:11pt;width:9.15pt;mso-position-horizontal:center;mso-position-horizontal-relative:margin;z-index:251659264;mso-width-relative:page;mso-height-relative:page;" filled="f" stroked="f" coordsize="21600,21600" o:gfxdata="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BvgR1QAAAAMBAAAPAAAAAAAAAAEAIAAAACIAAABkcnMvZG93bnJl&#10;di54bWxQSwECFAAUAAAACACHTuJAQQrnNgACAADxAwAADgAAAAAAAAABACAAAAAkAQAAZHJzL2Uy&#10;b0RvYy54bWxQSwUGAAAAAAYABgBZAQAAlgUAAAAA&#10;">
              <v:fill on="f" focussize="0,0"/>
              <v:stroke on="f" joinstyle="miter"/>
              <v:imagedata o:title=""/>
              <o:lock v:ext="edit" aspectratio="f"/>
              <v:textbox inset="0mm,0mm,0mm,0mm">
                <w:txbxContent>
                  <w:p w14:paraId="30D8C432">
                    <w:pPr>
                      <w:pStyle w:val="8"/>
                      <w:tabs>
                        <w:tab w:val="center" w:pos="4153"/>
                        <w:tab w:val="right" w:pos="8306"/>
                      </w:tabs>
                    </w:pPr>
                  </w:p>
                  <w:p w14:paraId="0ADC2586"/>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B67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55A6C"/>
    <w:multiLevelType w:val="multilevel"/>
    <w:tmpl w:val="14855A6C"/>
    <w:lvl w:ilvl="0" w:tentative="0">
      <w:start w:val="1"/>
      <w:numFmt w:val="decimal"/>
      <w:suff w:val="nothing"/>
      <w:lvlText w:val="（%1）"/>
      <w:lvlJc w:val="left"/>
      <w:pPr>
        <w:tabs>
          <w:tab w:val="left" w:pos="0"/>
        </w:tabs>
        <w:ind w:left="0" w:firstLine="0"/>
      </w:pPr>
      <w:rPr>
        <w:rFonts w:ascii="Times New Roman" w:hAnsi="Times New Roman"/>
      </w:rPr>
    </w:lvl>
    <w:lvl w:ilvl="1" w:tentative="0">
      <w:start w:val="1"/>
      <w:numFmt w:val="decimal"/>
      <w:lvlText w:val="%1."/>
      <w:lvlJc w:val="left"/>
      <w:pPr>
        <w:tabs>
          <w:tab w:val="left" w:pos="0"/>
        </w:tabs>
        <w:ind w:left="1440" w:hanging="360"/>
      </w:pPr>
    </w:lvl>
    <w:lvl w:ilvl="2" w:tentative="0">
      <w:start w:val="1"/>
      <w:numFmt w:val="decimal"/>
      <w:lvlText w:val="%1."/>
      <w:lvlJc w:val="left"/>
      <w:pPr>
        <w:tabs>
          <w:tab w:val="left" w:pos="0"/>
        </w:tabs>
        <w:ind w:left="2160" w:hanging="360"/>
      </w:pPr>
    </w:lvl>
    <w:lvl w:ilvl="3" w:tentative="0">
      <w:start w:val="1"/>
      <w:numFmt w:val="decimal"/>
      <w:lvlText w:val="%1."/>
      <w:lvlJc w:val="left"/>
      <w:pPr>
        <w:tabs>
          <w:tab w:val="left" w:pos="0"/>
        </w:tabs>
        <w:ind w:left="2880" w:hanging="360"/>
      </w:pPr>
    </w:lvl>
    <w:lvl w:ilvl="4" w:tentative="0">
      <w:start w:val="1"/>
      <w:numFmt w:val="decimal"/>
      <w:lvlText w:val="%1."/>
      <w:lvlJc w:val="left"/>
      <w:pPr>
        <w:tabs>
          <w:tab w:val="left" w:pos="0"/>
        </w:tabs>
        <w:ind w:left="3600" w:hanging="360"/>
      </w:pPr>
    </w:lvl>
    <w:lvl w:ilvl="5" w:tentative="0">
      <w:start w:val="1"/>
      <w:numFmt w:val="decimal"/>
      <w:lvlText w:val="%1."/>
      <w:lvlJc w:val="left"/>
      <w:pPr>
        <w:tabs>
          <w:tab w:val="left" w:pos="0"/>
        </w:tabs>
        <w:ind w:left="4320" w:hanging="360"/>
      </w:pPr>
    </w:lvl>
    <w:lvl w:ilvl="6" w:tentative="0">
      <w:start w:val="1"/>
      <w:numFmt w:val="decimal"/>
      <w:lvlText w:val="%1."/>
      <w:lvlJc w:val="left"/>
      <w:pPr>
        <w:tabs>
          <w:tab w:val="left" w:pos="0"/>
        </w:tabs>
        <w:ind w:left="5040" w:hanging="360"/>
      </w:pPr>
    </w:lvl>
    <w:lvl w:ilvl="7" w:tentative="0">
      <w:start w:val="1"/>
      <w:numFmt w:val="decimal"/>
      <w:lvlText w:val="%1."/>
      <w:lvlJc w:val="left"/>
      <w:pPr>
        <w:tabs>
          <w:tab w:val="left" w:pos="0"/>
        </w:tabs>
        <w:ind w:left="5760" w:hanging="360"/>
      </w:pPr>
    </w:lvl>
    <w:lvl w:ilvl="8" w:tentative="0">
      <w:start w:val="1"/>
      <w:numFmt w:val="decimal"/>
      <w:lvlText w:val="%1."/>
      <w:lvlJc w:val="left"/>
      <w:pPr>
        <w:tabs>
          <w:tab w:val="left" w:pos="0"/>
        </w:tabs>
        <w:ind w:left="6480" w:hanging="360"/>
      </w:pPr>
    </w:lvl>
  </w:abstractNum>
  <w:abstractNum w:abstractNumId="1">
    <w:nsid w:val="4486090E"/>
    <w:multiLevelType w:val="multilevel"/>
    <w:tmpl w:val="4486090E"/>
    <w:lvl w:ilvl="0" w:tentative="0">
      <w:start w:val="2"/>
      <w:numFmt w:val="decimal"/>
      <w:suff w:val="nothing"/>
      <w:lvlText w:val="%1、"/>
      <w:lvlJc w:val="left"/>
      <w:pPr>
        <w:tabs>
          <w:tab w:val="left" w:pos="0"/>
        </w:tabs>
        <w:ind w:left="0" w:firstLine="0"/>
      </w:pPr>
      <w:rPr>
        <w:rFonts w:ascii="Times New Roman" w:hAnsi="Times New Roman"/>
      </w:rPr>
    </w:lvl>
    <w:lvl w:ilvl="1" w:tentative="0">
      <w:start w:val="1"/>
      <w:numFmt w:val="decimal"/>
      <w:lvlText w:val="%1."/>
      <w:lvlJc w:val="left"/>
      <w:pPr>
        <w:tabs>
          <w:tab w:val="left" w:pos="0"/>
        </w:tabs>
        <w:ind w:left="1440" w:hanging="360"/>
      </w:pPr>
    </w:lvl>
    <w:lvl w:ilvl="2" w:tentative="0">
      <w:start w:val="1"/>
      <w:numFmt w:val="decimal"/>
      <w:lvlText w:val="%1."/>
      <w:lvlJc w:val="left"/>
      <w:pPr>
        <w:tabs>
          <w:tab w:val="left" w:pos="0"/>
        </w:tabs>
        <w:ind w:left="2160" w:hanging="360"/>
      </w:pPr>
    </w:lvl>
    <w:lvl w:ilvl="3" w:tentative="0">
      <w:start w:val="1"/>
      <w:numFmt w:val="decimal"/>
      <w:lvlText w:val="%1."/>
      <w:lvlJc w:val="left"/>
      <w:pPr>
        <w:tabs>
          <w:tab w:val="left" w:pos="0"/>
        </w:tabs>
        <w:ind w:left="2880" w:hanging="360"/>
      </w:pPr>
    </w:lvl>
    <w:lvl w:ilvl="4" w:tentative="0">
      <w:start w:val="1"/>
      <w:numFmt w:val="decimal"/>
      <w:lvlText w:val="%1."/>
      <w:lvlJc w:val="left"/>
      <w:pPr>
        <w:tabs>
          <w:tab w:val="left" w:pos="0"/>
        </w:tabs>
        <w:ind w:left="3600" w:hanging="360"/>
      </w:pPr>
    </w:lvl>
    <w:lvl w:ilvl="5" w:tentative="0">
      <w:start w:val="1"/>
      <w:numFmt w:val="decimal"/>
      <w:lvlText w:val="%1."/>
      <w:lvlJc w:val="left"/>
      <w:pPr>
        <w:tabs>
          <w:tab w:val="left" w:pos="0"/>
        </w:tabs>
        <w:ind w:left="4320" w:hanging="360"/>
      </w:pPr>
    </w:lvl>
    <w:lvl w:ilvl="6" w:tentative="0">
      <w:start w:val="1"/>
      <w:numFmt w:val="decimal"/>
      <w:lvlText w:val="%1."/>
      <w:lvlJc w:val="left"/>
      <w:pPr>
        <w:tabs>
          <w:tab w:val="left" w:pos="0"/>
        </w:tabs>
        <w:ind w:left="5040" w:hanging="360"/>
      </w:pPr>
    </w:lvl>
    <w:lvl w:ilvl="7" w:tentative="0">
      <w:start w:val="1"/>
      <w:numFmt w:val="decimal"/>
      <w:lvlText w:val="%1."/>
      <w:lvlJc w:val="left"/>
      <w:pPr>
        <w:tabs>
          <w:tab w:val="left" w:pos="0"/>
        </w:tabs>
        <w:ind w:left="5760" w:hanging="360"/>
      </w:pPr>
    </w:lvl>
    <w:lvl w:ilvl="8" w:tentative="0">
      <w:start w:val="1"/>
      <w:numFmt w:val="decimal"/>
      <w:lvlText w:val="%1."/>
      <w:lvlJc w:val="left"/>
      <w:pPr>
        <w:tabs>
          <w:tab w:val="left" w:pos="0"/>
        </w:tabs>
        <w:ind w:left="6480" w:hanging="360"/>
      </w:pPr>
    </w:lvl>
  </w:abstractNum>
  <w:abstractNum w:abstractNumId="2">
    <w:nsid w:val="4D172415"/>
    <w:multiLevelType w:val="multilevel"/>
    <w:tmpl w:val="4D172415"/>
    <w:lvl w:ilvl="0" w:tentative="0">
      <w:start w:val="1"/>
      <w:numFmt w:val="decimal"/>
      <w:suff w:val="nothing"/>
      <w:lvlText w:val="（%1）"/>
      <w:lvlJc w:val="left"/>
      <w:pPr>
        <w:tabs>
          <w:tab w:val="left" w:pos="0"/>
        </w:tabs>
        <w:ind w:left="0" w:firstLine="0"/>
      </w:pPr>
      <w:rPr>
        <w:rFonts w:ascii="Times New Roman" w:hAnsi="Times New Roman"/>
      </w:rPr>
    </w:lvl>
    <w:lvl w:ilvl="1" w:tentative="0">
      <w:start w:val="1"/>
      <w:numFmt w:val="decimal"/>
      <w:lvlText w:val="%1."/>
      <w:lvlJc w:val="left"/>
      <w:pPr>
        <w:tabs>
          <w:tab w:val="left" w:pos="0"/>
        </w:tabs>
        <w:ind w:left="1440" w:hanging="360"/>
      </w:pPr>
    </w:lvl>
    <w:lvl w:ilvl="2" w:tentative="0">
      <w:start w:val="1"/>
      <w:numFmt w:val="decimal"/>
      <w:lvlText w:val="%1."/>
      <w:lvlJc w:val="left"/>
      <w:pPr>
        <w:tabs>
          <w:tab w:val="left" w:pos="0"/>
        </w:tabs>
        <w:ind w:left="2160" w:hanging="360"/>
      </w:pPr>
    </w:lvl>
    <w:lvl w:ilvl="3" w:tentative="0">
      <w:start w:val="1"/>
      <w:numFmt w:val="decimal"/>
      <w:lvlText w:val="%1."/>
      <w:lvlJc w:val="left"/>
      <w:pPr>
        <w:tabs>
          <w:tab w:val="left" w:pos="0"/>
        </w:tabs>
        <w:ind w:left="2880" w:hanging="360"/>
      </w:pPr>
    </w:lvl>
    <w:lvl w:ilvl="4" w:tentative="0">
      <w:start w:val="1"/>
      <w:numFmt w:val="decimal"/>
      <w:lvlText w:val="%1."/>
      <w:lvlJc w:val="left"/>
      <w:pPr>
        <w:tabs>
          <w:tab w:val="left" w:pos="0"/>
        </w:tabs>
        <w:ind w:left="3600" w:hanging="360"/>
      </w:pPr>
    </w:lvl>
    <w:lvl w:ilvl="5" w:tentative="0">
      <w:start w:val="1"/>
      <w:numFmt w:val="decimal"/>
      <w:lvlText w:val="%1."/>
      <w:lvlJc w:val="left"/>
      <w:pPr>
        <w:tabs>
          <w:tab w:val="left" w:pos="0"/>
        </w:tabs>
        <w:ind w:left="4320" w:hanging="360"/>
      </w:pPr>
    </w:lvl>
    <w:lvl w:ilvl="6" w:tentative="0">
      <w:start w:val="1"/>
      <w:numFmt w:val="decimal"/>
      <w:lvlText w:val="%1."/>
      <w:lvlJc w:val="left"/>
      <w:pPr>
        <w:tabs>
          <w:tab w:val="left" w:pos="0"/>
        </w:tabs>
        <w:ind w:left="5040" w:hanging="360"/>
      </w:pPr>
    </w:lvl>
    <w:lvl w:ilvl="7" w:tentative="0">
      <w:start w:val="1"/>
      <w:numFmt w:val="decimal"/>
      <w:lvlText w:val="%1."/>
      <w:lvlJc w:val="left"/>
      <w:pPr>
        <w:tabs>
          <w:tab w:val="left" w:pos="0"/>
        </w:tabs>
        <w:ind w:left="5760" w:hanging="360"/>
      </w:pPr>
    </w:lvl>
    <w:lvl w:ilvl="8" w:tentative="0">
      <w:start w:val="1"/>
      <w:numFmt w:val="decimal"/>
      <w:lvlText w:val="%1."/>
      <w:lvlJc w:val="left"/>
      <w:pPr>
        <w:tabs>
          <w:tab w:val="left" w:pos="0"/>
        </w:tabs>
        <w:ind w:left="6480" w:hanging="360"/>
      </w:pPr>
    </w:lvl>
  </w:abstractNum>
  <w:abstractNum w:abstractNumId="3">
    <w:nsid w:val="4FFF3877"/>
    <w:multiLevelType w:val="multilevel"/>
    <w:tmpl w:val="4FFF3877"/>
    <w:lvl w:ilvl="0" w:tentative="0">
      <w:start w:val="1"/>
      <w:numFmt w:val="decimal"/>
      <w:suff w:val="nothing"/>
      <w:lvlText w:val="（%1）"/>
      <w:lvlJc w:val="left"/>
      <w:pPr>
        <w:tabs>
          <w:tab w:val="left" w:pos="0"/>
        </w:tabs>
        <w:ind w:left="0" w:firstLine="0"/>
      </w:pPr>
      <w:rPr>
        <w:rFonts w:ascii="Times New Roman" w:hAnsi="Times New Roman"/>
      </w:rPr>
    </w:lvl>
    <w:lvl w:ilvl="1" w:tentative="0">
      <w:start w:val="1"/>
      <w:numFmt w:val="decimal"/>
      <w:lvlText w:val="%1."/>
      <w:lvlJc w:val="left"/>
      <w:pPr>
        <w:tabs>
          <w:tab w:val="left" w:pos="0"/>
        </w:tabs>
        <w:ind w:left="1440" w:hanging="360"/>
      </w:pPr>
    </w:lvl>
    <w:lvl w:ilvl="2" w:tentative="0">
      <w:start w:val="1"/>
      <w:numFmt w:val="decimal"/>
      <w:lvlText w:val="%1."/>
      <w:lvlJc w:val="left"/>
      <w:pPr>
        <w:tabs>
          <w:tab w:val="left" w:pos="0"/>
        </w:tabs>
        <w:ind w:left="2160" w:hanging="360"/>
      </w:pPr>
    </w:lvl>
    <w:lvl w:ilvl="3" w:tentative="0">
      <w:start w:val="1"/>
      <w:numFmt w:val="decimal"/>
      <w:lvlText w:val="%1."/>
      <w:lvlJc w:val="left"/>
      <w:pPr>
        <w:tabs>
          <w:tab w:val="left" w:pos="0"/>
        </w:tabs>
        <w:ind w:left="2880" w:hanging="360"/>
      </w:pPr>
    </w:lvl>
    <w:lvl w:ilvl="4" w:tentative="0">
      <w:start w:val="1"/>
      <w:numFmt w:val="decimal"/>
      <w:lvlText w:val="%1."/>
      <w:lvlJc w:val="left"/>
      <w:pPr>
        <w:tabs>
          <w:tab w:val="left" w:pos="0"/>
        </w:tabs>
        <w:ind w:left="3600" w:hanging="360"/>
      </w:pPr>
    </w:lvl>
    <w:lvl w:ilvl="5" w:tentative="0">
      <w:start w:val="1"/>
      <w:numFmt w:val="decimal"/>
      <w:lvlText w:val="%1."/>
      <w:lvlJc w:val="left"/>
      <w:pPr>
        <w:tabs>
          <w:tab w:val="left" w:pos="0"/>
        </w:tabs>
        <w:ind w:left="4320" w:hanging="360"/>
      </w:pPr>
    </w:lvl>
    <w:lvl w:ilvl="6" w:tentative="0">
      <w:start w:val="1"/>
      <w:numFmt w:val="decimal"/>
      <w:lvlText w:val="%1."/>
      <w:lvlJc w:val="left"/>
      <w:pPr>
        <w:tabs>
          <w:tab w:val="left" w:pos="0"/>
        </w:tabs>
        <w:ind w:left="5040" w:hanging="360"/>
      </w:pPr>
    </w:lvl>
    <w:lvl w:ilvl="7" w:tentative="0">
      <w:start w:val="1"/>
      <w:numFmt w:val="decimal"/>
      <w:lvlText w:val="%1."/>
      <w:lvlJc w:val="left"/>
      <w:pPr>
        <w:tabs>
          <w:tab w:val="left" w:pos="0"/>
        </w:tabs>
        <w:ind w:left="5760" w:hanging="360"/>
      </w:pPr>
    </w:lvl>
    <w:lvl w:ilvl="8" w:tentative="0">
      <w:start w:val="1"/>
      <w:numFmt w:val="decimal"/>
      <w:lvlText w:val="%1."/>
      <w:lvlJc w:val="left"/>
      <w:pPr>
        <w:tabs>
          <w:tab w:val="left" w:pos="0"/>
        </w:tabs>
        <w:ind w:left="6480" w:hanging="360"/>
      </w:pPr>
    </w:lvl>
  </w:abstractNum>
  <w:abstractNum w:abstractNumId="4">
    <w:nsid w:val="6F3C0E04"/>
    <w:multiLevelType w:val="multilevel"/>
    <w:tmpl w:val="6F3C0E04"/>
    <w:lvl w:ilvl="0" w:tentative="0">
      <w:start w:val="1"/>
      <w:numFmt w:val="decimal"/>
      <w:suff w:val="nothing"/>
      <w:lvlText w:val="（%1）"/>
      <w:lvlJc w:val="left"/>
      <w:pPr>
        <w:tabs>
          <w:tab w:val="left" w:pos="0"/>
        </w:tabs>
        <w:ind w:left="0" w:firstLine="0"/>
      </w:pPr>
      <w:rPr>
        <w:rFonts w:ascii="Times New Roman" w:hAnsi="Times New Roman"/>
      </w:rPr>
    </w:lvl>
    <w:lvl w:ilvl="1" w:tentative="0">
      <w:start w:val="1"/>
      <w:numFmt w:val="decimal"/>
      <w:lvlText w:val="%1."/>
      <w:lvlJc w:val="left"/>
      <w:pPr>
        <w:tabs>
          <w:tab w:val="left" w:pos="0"/>
        </w:tabs>
        <w:ind w:left="1440" w:hanging="360"/>
      </w:pPr>
    </w:lvl>
    <w:lvl w:ilvl="2" w:tentative="0">
      <w:start w:val="1"/>
      <w:numFmt w:val="decimal"/>
      <w:lvlText w:val="%1."/>
      <w:lvlJc w:val="left"/>
      <w:pPr>
        <w:tabs>
          <w:tab w:val="left" w:pos="0"/>
        </w:tabs>
        <w:ind w:left="2160" w:hanging="360"/>
      </w:pPr>
    </w:lvl>
    <w:lvl w:ilvl="3" w:tentative="0">
      <w:start w:val="1"/>
      <w:numFmt w:val="decimal"/>
      <w:lvlText w:val="%1."/>
      <w:lvlJc w:val="left"/>
      <w:pPr>
        <w:tabs>
          <w:tab w:val="left" w:pos="0"/>
        </w:tabs>
        <w:ind w:left="2880" w:hanging="360"/>
      </w:pPr>
    </w:lvl>
    <w:lvl w:ilvl="4" w:tentative="0">
      <w:start w:val="1"/>
      <w:numFmt w:val="decimal"/>
      <w:lvlText w:val="%1."/>
      <w:lvlJc w:val="left"/>
      <w:pPr>
        <w:tabs>
          <w:tab w:val="left" w:pos="0"/>
        </w:tabs>
        <w:ind w:left="3600" w:hanging="360"/>
      </w:pPr>
    </w:lvl>
    <w:lvl w:ilvl="5" w:tentative="0">
      <w:start w:val="1"/>
      <w:numFmt w:val="decimal"/>
      <w:lvlText w:val="%1."/>
      <w:lvlJc w:val="left"/>
      <w:pPr>
        <w:tabs>
          <w:tab w:val="left" w:pos="0"/>
        </w:tabs>
        <w:ind w:left="4320" w:hanging="360"/>
      </w:pPr>
    </w:lvl>
    <w:lvl w:ilvl="6" w:tentative="0">
      <w:start w:val="1"/>
      <w:numFmt w:val="decimal"/>
      <w:lvlText w:val="%1."/>
      <w:lvlJc w:val="left"/>
      <w:pPr>
        <w:tabs>
          <w:tab w:val="left" w:pos="0"/>
        </w:tabs>
        <w:ind w:left="5040" w:hanging="360"/>
      </w:pPr>
    </w:lvl>
    <w:lvl w:ilvl="7" w:tentative="0">
      <w:start w:val="1"/>
      <w:numFmt w:val="decimal"/>
      <w:lvlText w:val="%1."/>
      <w:lvlJc w:val="left"/>
      <w:pPr>
        <w:tabs>
          <w:tab w:val="left" w:pos="0"/>
        </w:tabs>
        <w:ind w:left="5760" w:hanging="360"/>
      </w:pPr>
    </w:lvl>
    <w:lvl w:ilvl="8" w:tentative="0">
      <w:start w:val="1"/>
      <w:numFmt w:val="decimal"/>
      <w:lvlText w:val="%1."/>
      <w:lvlJc w:val="left"/>
      <w:pPr>
        <w:tabs>
          <w:tab w:val="left" w:pos="0"/>
        </w:tabs>
        <w:ind w:left="6480" w:hanging="360"/>
      </w:pPr>
    </w:lvl>
  </w:abstractNum>
  <w:num w:numId="1">
    <w:abstractNumId w:val="0"/>
    <w:lvlOverride w:ilvl="0">
      <w:startOverride w:val="1"/>
      <w:lvl w:ilvl="0" w:tentative="1">
        <w:start w:val="1"/>
        <w:numFmt w:val="decimal"/>
        <w:suff w:val="nothing"/>
        <w:lvlText w:val="（%1）"/>
        <w:lvlJc w:val="left"/>
        <w:pPr>
          <w:tabs>
            <w:tab w:val="left" w:pos="0"/>
          </w:tabs>
          <w:ind w:left="0" w:firstLine="0"/>
        </w:pPr>
        <w:rPr>
          <w:rFonts w:ascii="Times New Roman" w:hAnsi="Times New Roman"/>
        </w:rPr>
      </w:lvl>
    </w:lvlOverride>
    <w:lvlOverride w:ilvl="1">
      <w:startOverride w:val="1"/>
      <w:lvl w:ilvl="1" w:tentative="1">
        <w:start w:val="1"/>
        <w:numFmt w:val="decimal"/>
        <w:lvlText w:val="%1."/>
        <w:lvlJc w:val="left"/>
        <w:pPr>
          <w:tabs>
            <w:tab w:val="left" w:pos="0"/>
          </w:tabs>
          <w:ind w:left="1440" w:hanging="360"/>
        </w:pPr>
      </w:lvl>
    </w:lvlOverride>
    <w:lvlOverride w:ilvl="2">
      <w:startOverride w:val="1"/>
      <w:lvl w:ilvl="2" w:tentative="1">
        <w:start w:val="1"/>
        <w:numFmt w:val="decimal"/>
        <w:lvlText w:val="%1."/>
        <w:lvlJc w:val="left"/>
        <w:pPr>
          <w:tabs>
            <w:tab w:val="left" w:pos="0"/>
          </w:tabs>
          <w:ind w:left="2160" w:hanging="360"/>
        </w:pPr>
      </w:lvl>
    </w:lvlOverride>
    <w:lvlOverride w:ilvl="3">
      <w:startOverride w:val="1"/>
      <w:lvl w:ilvl="3" w:tentative="1">
        <w:start w:val="1"/>
        <w:numFmt w:val="decimal"/>
        <w:lvlText w:val="%1."/>
        <w:lvlJc w:val="left"/>
        <w:pPr>
          <w:tabs>
            <w:tab w:val="left" w:pos="0"/>
          </w:tabs>
          <w:ind w:left="2880" w:hanging="360"/>
        </w:pPr>
      </w:lvl>
    </w:lvlOverride>
    <w:lvlOverride w:ilvl="4">
      <w:startOverride w:val="1"/>
      <w:lvl w:ilvl="4" w:tentative="1">
        <w:start w:val="1"/>
        <w:numFmt w:val="decimal"/>
        <w:lvlText w:val="%1."/>
        <w:lvlJc w:val="left"/>
        <w:pPr>
          <w:tabs>
            <w:tab w:val="left" w:pos="0"/>
          </w:tabs>
          <w:ind w:left="3600" w:hanging="360"/>
        </w:pPr>
      </w:lvl>
    </w:lvlOverride>
    <w:lvlOverride w:ilvl="5">
      <w:startOverride w:val="1"/>
      <w:lvl w:ilvl="5" w:tentative="1">
        <w:start w:val="1"/>
        <w:numFmt w:val="decimal"/>
        <w:lvlText w:val="%1."/>
        <w:lvlJc w:val="left"/>
        <w:pPr>
          <w:tabs>
            <w:tab w:val="left" w:pos="0"/>
          </w:tabs>
          <w:ind w:left="4320" w:hanging="360"/>
        </w:pPr>
      </w:lvl>
    </w:lvlOverride>
    <w:lvlOverride w:ilvl="6">
      <w:startOverride w:val="1"/>
      <w:lvl w:ilvl="6" w:tentative="1">
        <w:start w:val="1"/>
        <w:numFmt w:val="decimal"/>
        <w:lvlText w:val="%1."/>
        <w:lvlJc w:val="left"/>
        <w:pPr>
          <w:tabs>
            <w:tab w:val="left" w:pos="0"/>
          </w:tabs>
          <w:ind w:left="5040" w:hanging="360"/>
        </w:pPr>
      </w:lvl>
    </w:lvlOverride>
    <w:lvlOverride w:ilvl="7">
      <w:startOverride w:val="1"/>
      <w:lvl w:ilvl="7" w:tentative="1">
        <w:start w:val="1"/>
        <w:numFmt w:val="decimal"/>
        <w:lvlText w:val="%1."/>
        <w:lvlJc w:val="left"/>
        <w:pPr>
          <w:tabs>
            <w:tab w:val="left" w:pos="0"/>
          </w:tabs>
          <w:ind w:left="5760" w:hanging="360"/>
        </w:pPr>
      </w:lvl>
    </w:lvlOverride>
    <w:lvlOverride w:ilvl="8">
      <w:startOverride w:val="1"/>
      <w:lvl w:ilvl="8" w:tentative="1">
        <w:start w:val="1"/>
        <w:numFmt w:val="decimal"/>
        <w:lvlText w:val="%1."/>
        <w:lvlJc w:val="left"/>
        <w:pPr>
          <w:tabs>
            <w:tab w:val="left" w:pos="0"/>
          </w:tabs>
          <w:ind w:left="6480" w:hanging="360"/>
        </w:pPr>
      </w:lvl>
    </w:lvlOverride>
  </w:num>
  <w:num w:numId="2">
    <w:abstractNumId w:val="3"/>
    <w:lvlOverride w:ilvl="0">
      <w:startOverride w:val="1"/>
      <w:lvl w:ilvl="0" w:tentative="1">
        <w:start w:val="1"/>
        <w:numFmt w:val="decimal"/>
        <w:suff w:val="nothing"/>
        <w:lvlText w:val="（%1）"/>
        <w:lvlJc w:val="left"/>
        <w:pPr>
          <w:tabs>
            <w:tab w:val="left" w:pos="0"/>
          </w:tabs>
          <w:ind w:left="0" w:firstLine="0"/>
        </w:pPr>
        <w:rPr>
          <w:rFonts w:ascii="Times New Roman" w:hAnsi="Times New Roman"/>
        </w:rPr>
      </w:lvl>
    </w:lvlOverride>
    <w:lvlOverride w:ilvl="1">
      <w:startOverride w:val="1"/>
      <w:lvl w:ilvl="1" w:tentative="1">
        <w:start w:val="1"/>
        <w:numFmt w:val="decimal"/>
        <w:lvlText w:val="%1."/>
        <w:lvlJc w:val="left"/>
        <w:pPr>
          <w:tabs>
            <w:tab w:val="left" w:pos="0"/>
          </w:tabs>
          <w:ind w:left="1440" w:hanging="360"/>
        </w:pPr>
      </w:lvl>
    </w:lvlOverride>
    <w:lvlOverride w:ilvl="2">
      <w:startOverride w:val="1"/>
      <w:lvl w:ilvl="2" w:tentative="1">
        <w:start w:val="1"/>
        <w:numFmt w:val="decimal"/>
        <w:lvlText w:val="%1."/>
        <w:lvlJc w:val="left"/>
        <w:pPr>
          <w:tabs>
            <w:tab w:val="left" w:pos="0"/>
          </w:tabs>
          <w:ind w:left="2160" w:hanging="360"/>
        </w:pPr>
      </w:lvl>
    </w:lvlOverride>
    <w:lvlOverride w:ilvl="3">
      <w:startOverride w:val="1"/>
      <w:lvl w:ilvl="3" w:tentative="1">
        <w:start w:val="1"/>
        <w:numFmt w:val="decimal"/>
        <w:lvlText w:val="%1."/>
        <w:lvlJc w:val="left"/>
        <w:pPr>
          <w:tabs>
            <w:tab w:val="left" w:pos="0"/>
          </w:tabs>
          <w:ind w:left="2880" w:hanging="360"/>
        </w:pPr>
      </w:lvl>
    </w:lvlOverride>
    <w:lvlOverride w:ilvl="4">
      <w:startOverride w:val="1"/>
      <w:lvl w:ilvl="4" w:tentative="1">
        <w:start w:val="1"/>
        <w:numFmt w:val="decimal"/>
        <w:lvlText w:val="%1."/>
        <w:lvlJc w:val="left"/>
        <w:pPr>
          <w:tabs>
            <w:tab w:val="left" w:pos="0"/>
          </w:tabs>
          <w:ind w:left="3600" w:hanging="360"/>
        </w:pPr>
      </w:lvl>
    </w:lvlOverride>
    <w:lvlOverride w:ilvl="5">
      <w:startOverride w:val="1"/>
      <w:lvl w:ilvl="5" w:tentative="1">
        <w:start w:val="1"/>
        <w:numFmt w:val="decimal"/>
        <w:lvlText w:val="%1."/>
        <w:lvlJc w:val="left"/>
        <w:pPr>
          <w:tabs>
            <w:tab w:val="left" w:pos="0"/>
          </w:tabs>
          <w:ind w:left="4320" w:hanging="360"/>
        </w:pPr>
      </w:lvl>
    </w:lvlOverride>
    <w:lvlOverride w:ilvl="6">
      <w:startOverride w:val="1"/>
      <w:lvl w:ilvl="6" w:tentative="1">
        <w:start w:val="1"/>
        <w:numFmt w:val="decimal"/>
        <w:lvlText w:val="%1."/>
        <w:lvlJc w:val="left"/>
        <w:pPr>
          <w:tabs>
            <w:tab w:val="left" w:pos="0"/>
          </w:tabs>
          <w:ind w:left="5040" w:hanging="360"/>
        </w:pPr>
      </w:lvl>
    </w:lvlOverride>
    <w:lvlOverride w:ilvl="7">
      <w:startOverride w:val="1"/>
      <w:lvl w:ilvl="7" w:tentative="1">
        <w:start w:val="1"/>
        <w:numFmt w:val="decimal"/>
        <w:lvlText w:val="%1."/>
        <w:lvlJc w:val="left"/>
        <w:pPr>
          <w:tabs>
            <w:tab w:val="left" w:pos="0"/>
          </w:tabs>
          <w:ind w:left="5760" w:hanging="360"/>
        </w:pPr>
      </w:lvl>
    </w:lvlOverride>
    <w:lvlOverride w:ilvl="8">
      <w:startOverride w:val="1"/>
      <w:lvl w:ilvl="8" w:tentative="1">
        <w:start w:val="1"/>
        <w:numFmt w:val="decimal"/>
        <w:lvlText w:val="%1."/>
        <w:lvlJc w:val="left"/>
        <w:pPr>
          <w:tabs>
            <w:tab w:val="left" w:pos="0"/>
          </w:tabs>
          <w:ind w:left="6480" w:hanging="360"/>
        </w:pPr>
      </w:lvl>
    </w:lvlOverride>
  </w:num>
  <w:num w:numId="3">
    <w:abstractNumId w:val="4"/>
    <w:lvlOverride w:ilvl="0">
      <w:startOverride w:val="1"/>
      <w:lvl w:ilvl="0" w:tentative="1">
        <w:start w:val="1"/>
        <w:numFmt w:val="decimal"/>
        <w:suff w:val="nothing"/>
        <w:lvlText w:val="（%1）"/>
        <w:lvlJc w:val="left"/>
        <w:pPr>
          <w:tabs>
            <w:tab w:val="left" w:pos="0"/>
          </w:tabs>
          <w:ind w:left="0" w:firstLine="0"/>
        </w:pPr>
        <w:rPr>
          <w:rFonts w:ascii="Times New Roman" w:hAnsi="Times New Roman"/>
        </w:rPr>
      </w:lvl>
    </w:lvlOverride>
    <w:lvlOverride w:ilvl="1">
      <w:startOverride w:val="1"/>
      <w:lvl w:ilvl="1" w:tentative="1">
        <w:start w:val="1"/>
        <w:numFmt w:val="decimal"/>
        <w:lvlText w:val="%1."/>
        <w:lvlJc w:val="left"/>
        <w:pPr>
          <w:tabs>
            <w:tab w:val="left" w:pos="0"/>
          </w:tabs>
          <w:ind w:left="1440" w:hanging="360"/>
        </w:pPr>
      </w:lvl>
    </w:lvlOverride>
    <w:lvlOverride w:ilvl="2">
      <w:startOverride w:val="1"/>
      <w:lvl w:ilvl="2" w:tentative="1">
        <w:start w:val="1"/>
        <w:numFmt w:val="decimal"/>
        <w:lvlText w:val="%1."/>
        <w:lvlJc w:val="left"/>
        <w:pPr>
          <w:tabs>
            <w:tab w:val="left" w:pos="0"/>
          </w:tabs>
          <w:ind w:left="2160" w:hanging="360"/>
        </w:pPr>
      </w:lvl>
    </w:lvlOverride>
    <w:lvlOverride w:ilvl="3">
      <w:startOverride w:val="1"/>
      <w:lvl w:ilvl="3" w:tentative="1">
        <w:start w:val="1"/>
        <w:numFmt w:val="decimal"/>
        <w:lvlText w:val="%1."/>
        <w:lvlJc w:val="left"/>
        <w:pPr>
          <w:tabs>
            <w:tab w:val="left" w:pos="0"/>
          </w:tabs>
          <w:ind w:left="2880" w:hanging="360"/>
        </w:pPr>
      </w:lvl>
    </w:lvlOverride>
    <w:lvlOverride w:ilvl="4">
      <w:startOverride w:val="1"/>
      <w:lvl w:ilvl="4" w:tentative="1">
        <w:start w:val="1"/>
        <w:numFmt w:val="decimal"/>
        <w:lvlText w:val="%1."/>
        <w:lvlJc w:val="left"/>
        <w:pPr>
          <w:tabs>
            <w:tab w:val="left" w:pos="0"/>
          </w:tabs>
          <w:ind w:left="3600" w:hanging="360"/>
        </w:pPr>
      </w:lvl>
    </w:lvlOverride>
    <w:lvlOverride w:ilvl="5">
      <w:startOverride w:val="1"/>
      <w:lvl w:ilvl="5" w:tentative="1">
        <w:start w:val="1"/>
        <w:numFmt w:val="decimal"/>
        <w:lvlText w:val="%1."/>
        <w:lvlJc w:val="left"/>
        <w:pPr>
          <w:tabs>
            <w:tab w:val="left" w:pos="0"/>
          </w:tabs>
          <w:ind w:left="4320" w:hanging="360"/>
        </w:pPr>
      </w:lvl>
    </w:lvlOverride>
    <w:lvlOverride w:ilvl="6">
      <w:startOverride w:val="1"/>
      <w:lvl w:ilvl="6" w:tentative="1">
        <w:start w:val="1"/>
        <w:numFmt w:val="decimal"/>
        <w:lvlText w:val="%1."/>
        <w:lvlJc w:val="left"/>
        <w:pPr>
          <w:tabs>
            <w:tab w:val="left" w:pos="0"/>
          </w:tabs>
          <w:ind w:left="5040" w:hanging="360"/>
        </w:pPr>
      </w:lvl>
    </w:lvlOverride>
    <w:lvlOverride w:ilvl="7">
      <w:startOverride w:val="1"/>
      <w:lvl w:ilvl="7" w:tentative="1">
        <w:start w:val="1"/>
        <w:numFmt w:val="decimal"/>
        <w:lvlText w:val="%1."/>
        <w:lvlJc w:val="left"/>
        <w:pPr>
          <w:tabs>
            <w:tab w:val="left" w:pos="0"/>
          </w:tabs>
          <w:ind w:left="5760" w:hanging="360"/>
        </w:pPr>
      </w:lvl>
    </w:lvlOverride>
    <w:lvlOverride w:ilvl="8">
      <w:startOverride w:val="1"/>
      <w:lvl w:ilvl="8" w:tentative="1">
        <w:start w:val="1"/>
        <w:numFmt w:val="decimal"/>
        <w:lvlText w:val="%1."/>
        <w:lvlJc w:val="left"/>
        <w:pPr>
          <w:tabs>
            <w:tab w:val="left" w:pos="0"/>
          </w:tabs>
          <w:ind w:left="6480" w:hanging="360"/>
        </w:pPr>
      </w:lvl>
    </w:lvlOverride>
  </w:num>
  <w:num w:numId="4">
    <w:abstractNumId w:val="2"/>
    <w:lvlOverride w:ilvl="0">
      <w:startOverride w:val="1"/>
      <w:lvl w:ilvl="0" w:tentative="1">
        <w:start w:val="1"/>
        <w:numFmt w:val="decimal"/>
        <w:suff w:val="nothing"/>
        <w:lvlText w:val="（%1）"/>
        <w:lvlJc w:val="left"/>
        <w:pPr>
          <w:tabs>
            <w:tab w:val="left" w:pos="0"/>
          </w:tabs>
          <w:ind w:left="0" w:firstLine="0"/>
        </w:pPr>
        <w:rPr>
          <w:rFonts w:ascii="Times New Roman" w:hAnsi="Times New Roman"/>
        </w:rPr>
      </w:lvl>
    </w:lvlOverride>
    <w:lvlOverride w:ilvl="1">
      <w:startOverride w:val="1"/>
      <w:lvl w:ilvl="1" w:tentative="1">
        <w:start w:val="1"/>
        <w:numFmt w:val="decimal"/>
        <w:lvlText w:val="%1."/>
        <w:lvlJc w:val="left"/>
        <w:pPr>
          <w:tabs>
            <w:tab w:val="left" w:pos="0"/>
          </w:tabs>
          <w:ind w:left="1440" w:hanging="360"/>
        </w:pPr>
      </w:lvl>
    </w:lvlOverride>
    <w:lvlOverride w:ilvl="2">
      <w:startOverride w:val="1"/>
      <w:lvl w:ilvl="2" w:tentative="1">
        <w:start w:val="1"/>
        <w:numFmt w:val="decimal"/>
        <w:lvlText w:val="%1."/>
        <w:lvlJc w:val="left"/>
        <w:pPr>
          <w:tabs>
            <w:tab w:val="left" w:pos="0"/>
          </w:tabs>
          <w:ind w:left="2160" w:hanging="360"/>
        </w:pPr>
      </w:lvl>
    </w:lvlOverride>
    <w:lvlOverride w:ilvl="3">
      <w:startOverride w:val="1"/>
      <w:lvl w:ilvl="3" w:tentative="1">
        <w:start w:val="1"/>
        <w:numFmt w:val="decimal"/>
        <w:lvlText w:val="%1."/>
        <w:lvlJc w:val="left"/>
        <w:pPr>
          <w:tabs>
            <w:tab w:val="left" w:pos="0"/>
          </w:tabs>
          <w:ind w:left="2880" w:hanging="360"/>
        </w:pPr>
      </w:lvl>
    </w:lvlOverride>
    <w:lvlOverride w:ilvl="4">
      <w:startOverride w:val="1"/>
      <w:lvl w:ilvl="4" w:tentative="1">
        <w:start w:val="1"/>
        <w:numFmt w:val="decimal"/>
        <w:lvlText w:val="%1."/>
        <w:lvlJc w:val="left"/>
        <w:pPr>
          <w:tabs>
            <w:tab w:val="left" w:pos="0"/>
          </w:tabs>
          <w:ind w:left="3600" w:hanging="360"/>
        </w:pPr>
      </w:lvl>
    </w:lvlOverride>
    <w:lvlOverride w:ilvl="5">
      <w:startOverride w:val="1"/>
      <w:lvl w:ilvl="5" w:tentative="1">
        <w:start w:val="1"/>
        <w:numFmt w:val="decimal"/>
        <w:lvlText w:val="%1."/>
        <w:lvlJc w:val="left"/>
        <w:pPr>
          <w:tabs>
            <w:tab w:val="left" w:pos="0"/>
          </w:tabs>
          <w:ind w:left="4320" w:hanging="360"/>
        </w:pPr>
      </w:lvl>
    </w:lvlOverride>
    <w:lvlOverride w:ilvl="6">
      <w:startOverride w:val="1"/>
      <w:lvl w:ilvl="6" w:tentative="1">
        <w:start w:val="1"/>
        <w:numFmt w:val="decimal"/>
        <w:lvlText w:val="%1."/>
        <w:lvlJc w:val="left"/>
        <w:pPr>
          <w:tabs>
            <w:tab w:val="left" w:pos="0"/>
          </w:tabs>
          <w:ind w:left="5040" w:hanging="360"/>
        </w:pPr>
      </w:lvl>
    </w:lvlOverride>
    <w:lvlOverride w:ilvl="7">
      <w:startOverride w:val="1"/>
      <w:lvl w:ilvl="7" w:tentative="1">
        <w:start w:val="1"/>
        <w:numFmt w:val="decimal"/>
        <w:lvlText w:val="%1."/>
        <w:lvlJc w:val="left"/>
        <w:pPr>
          <w:tabs>
            <w:tab w:val="left" w:pos="0"/>
          </w:tabs>
          <w:ind w:left="5760" w:hanging="360"/>
        </w:pPr>
      </w:lvl>
    </w:lvlOverride>
    <w:lvlOverride w:ilvl="8">
      <w:startOverride w:val="1"/>
      <w:lvl w:ilvl="8" w:tentative="1">
        <w:start w:val="1"/>
        <w:numFmt w:val="decimal"/>
        <w:lvlText w:val="%1."/>
        <w:lvlJc w:val="left"/>
        <w:pPr>
          <w:tabs>
            <w:tab w:val="left" w:pos="0"/>
          </w:tabs>
          <w:ind w:left="6480" w:hanging="360"/>
        </w:pPr>
      </w:lvl>
    </w:lvlOverride>
  </w:num>
  <w:num w:numId="5">
    <w:abstractNumId w:val="1"/>
    <w:lvlOverride w:ilvl="0">
      <w:startOverride w:val="2"/>
      <w:lvl w:ilvl="0" w:tentative="1">
        <w:start w:val="2"/>
        <w:numFmt w:val="decimal"/>
        <w:suff w:val="nothing"/>
        <w:lvlText w:val="%1、"/>
        <w:lvlJc w:val="left"/>
        <w:pPr>
          <w:tabs>
            <w:tab w:val="left" w:pos="0"/>
          </w:tabs>
          <w:ind w:left="0" w:firstLine="0"/>
        </w:pPr>
        <w:rPr>
          <w:rFonts w:ascii="Times New Roman" w:hAnsi="Times New Roman"/>
        </w:rPr>
      </w:lvl>
    </w:lvlOverride>
    <w:lvlOverride w:ilvl="1">
      <w:startOverride w:val="1"/>
      <w:lvl w:ilvl="1" w:tentative="1">
        <w:start w:val="1"/>
        <w:numFmt w:val="decimal"/>
        <w:lvlText w:val="%1."/>
        <w:lvlJc w:val="left"/>
        <w:pPr>
          <w:tabs>
            <w:tab w:val="left" w:pos="0"/>
          </w:tabs>
          <w:ind w:left="1440" w:hanging="360"/>
        </w:pPr>
      </w:lvl>
    </w:lvlOverride>
    <w:lvlOverride w:ilvl="2">
      <w:startOverride w:val="1"/>
      <w:lvl w:ilvl="2" w:tentative="1">
        <w:start w:val="1"/>
        <w:numFmt w:val="decimal"/>
        <w:lvlText w:val="%1."/>
        <w:lvlJc w:val="left"/>
        <w:pPr>
          <w:tabs>
            <w:tab w:val="left" w:pos="0"/>
          </w:tabs>
          <w:ind w:left="2160" w:hanging="360"/>
        </w:pPr>
      </w:lvl>
    </w:lvlOverride>
    <w:lvlOverride w:ilvl="3">
      <w:startOverride w:val="1"/>
      <w:lvl w:ilvl="3" w:tentative="1">
        <w:start w:val="1"/>
        <w:numFmt w:val="decimal"/>
        <w:lvlText w:val="%1."/>
        <w:lvlJc w:val="left"/>
        <w:pPr>
          <w:tabs>
            <w:tab w:val="left" w:pos="0"/>
          </w:tabs>
          <w:ind w:left="2880" w:hanging="360"/>
        </w:pPr>
      </w:lvl>
    </w:lvlOverride>
    <w:lvlOverride w:ilvl="4">
      <w:startOverride w:val="1"/>
      <w:lvl w:ilvl="4" w:tentative="1">
        <w:start w:val="1"/>
        <w:numFmt w:val="decimal"/>
        <w:lvlText w:val="%1."/>
        <w:lvlJc w:val="left"/>
        <w:pPr>
          <w:tabs>
            <w:tab w:val="left" w:pos="0"/>
          </w:tabs>
          <w:ind w:left="3600" w:hanging="360"/>
        </w:pPr>
      </w:lvl>
    </w:lvlOverride>
    <w:lvlOverride w:ilvl="5">
      <w:startOverride w:val="1"/>
      <w:lvl w:ilvl="5" w:tentative="1">
        <w:start w:val="1"/>
        <w:numFmt w:val="decimal"/>
        <w:lvlText w:val="%1."/>
        <w:lvlJc w:val="left"/>
        <w:pPr>
          <w:tabs>
            <w:tab w:val="left" w:pos="0"/>
          </w:tabs>
          <w:ind w:left="4320" w:hanging="360"/>
        </w:pPr>
      </w:lvl>
    </w:lvlOverride>
    <w:lvlOverride w:ilvl="6">
      <w:startOverride w:val="1"/>
      <w:lvl w:ilvl="6" w:tentative="1">
        <w:start w:val="1"/>
        <w:numFmt w:val="decimal"/>
        <w:lvlText w:val="%1."/>
        <w:lvlJc w:val="left"/>
        <w:pPr>
          <w:tabs>
            <w:tab w:val="left" w:pos="0"/>
          </w:tabs>
          <w:ind w:left="5040" w:hanging="360"/>
        </w:pPr>
      </w:lvl>
    </w:lvlOverride>
    <w:lvlOverride w:ilvl="7">
      <w:startOverride w:val="1"/>
      <w:lvl w:ilvl="7" w:tentative="1">
        <w:start w:val="1"/>
        <w:numFmt w:val="decimal"/>
        <w:lvlText w:val="%1."/>
        <w:lvlJc w:val="left"/>
        <w:pPr>
          <w:tabs>
            <w:tab w:val="left" w:pos="0"/>
          </w:tabs>
          <w:ind w:left="5760" w:hanging="360"/>
        </w:pPr>
      </w:lvl>
    </w:lvlOverride>
    <w:lvlOverride w:ilvl="8">
      <w:startOverride w:val="1"/>
      <w:lvl w:ilvl="8" w:tentative="1">
        <w:start w:val="1"/>
        <w:numFmt w:val="decimal"/>
        <w:lvlText w:val="%1."/>
        <w:lvlJc w:val="left"/>
        <w:pPr>
          <w:tabs>
            <w:tab w:val="left" w:pos="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readOnly" w:enforcement="0"/>
  <w:defaultTabStop w:val="420"/>
  <w:drawingGridHorizontalSpacing w:val="120"/>
  <w:drawingGridVerticalSpacing w:val="163"/>
  <w:displayHorizontalDrawingGridEvery w:val="1"/>
  <w:displayVerticalDrawingGridEvery w:val="1"/>
  <w:noPunctuationKerning w:val="1"/>
  <w:compat>
    <w:spaceForUL/>
    <w:doNotExpandShiftReturn/>
    <w:useFELayout/>
    <w:doNotUseIndentAsNumberingTabStop/>
    <w:compatSetting w:name="compatibilityMode" w:uri="http://schemas.microsoft.com/office/word" w:val="15"/>
  </w:compat>
  <w:docVars>
    <w:docVar w:name="commondata" w:val="eyJoZGlkIjoiYmI0M2U1Mzc4YWQ2N2FkMzUwMzY0Yzc5YWZmMzRjZjQifQ=="/>
    <w:docVar w:name="KGWebUrl" w:val="http://139.9.248.164:90/seeyon/officeservlet"/>
  </w:docVars>
  <w:rsids>
    <w:rsidRoot w:val="00000000"/>
    <w:rsid w:val="02E5725D"/>
    <w:rsid w:val="0B52745A"/>
    <w:rsid w:val="150621AD"/>
    <w:rsid w:val="1EAC67B8"/>
    <w:rsid w:val="20426BD4"/>
    <w:rsid w:val="2895052E"/>
    <w:rsid w:val="30E6401D"/>
    <w:rsid w:val="311C17EC"/>
    <w:rsid w:val="33ED7470"/>
    <w:rsid w:val="5023629C"/>
    <w:rsid w:val="5B4C091C"/>
    <w:rsid w:val="60730B79"/>
    <w:rsid w:val="66320B8F"/>
    <w:rsid w:val="76472434"/>
    <w:rsid w:val="79DA35C0"/>
    <w:rsid w:val="7FEB0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textAlignment w:val="baseline"/>
    </w:pPr>
    <w:rPr>
      <w:rFonts w:ascii="Times New Roman" w:hAnsi="Times New Roman" w:eastAsia="宋体" w:cs="Arial"/>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rFonts w:ascii="Calibri" w:hAnsi="Calibri" w:cs="Times New Roman"/>
    </w:rPr>
  </w:style>
  <w:style w:type="paragraph" w:styleId="6">
    <w:name w:val="annotation text"/>
    <w:basedOn w:val="1"/>
    <w:next w:val="7"/>
    <w:qFormat/>
    <w:uiPriority w:val="0"/>
    <w:pPr>
      <w:jc w:val="left"/>
    </w:pPr>
  </w:style>
  <w:style w:type="paragraph" w:customStyle="1" w:styleId="7">
    <w:name w:val="1"/>
    <w:basedOn w:val="1"/>
    <w:qFormat/>
    <w:uiPriority w:val="0"/>
    <w:pPr>
      <w:widowControl/>
      <w:spacing w:before="100" w:beforeAutospacing="1" w:after="100" w:afterAutospacing="1"/>
      <w:jc w:val="left"/>
    </w:pPr>
    <w:rPr>
      <w:rFonts w:ascii="ˎ̥" w:hAnsi="ˎ̥" w:eastAsia="宋体" w:cs="宋体"/>
      <w:kern w:val="0"/>
      <w:sz w:val="24"/>
      <w:szCs w:val="24"/>
    </w:rPr>
  </w:style>
  <w:style w:type="paragraph" w:styleId="8">
    <w:name w:val="footer"/>
    <w:basedOn w:val="1"/>
    <w:qFormat/>
    <w:uiPriority w:val="0"/>
    <w:pPr>
      <w:snapToGrid w:val="0"/>
    </w:pPr>
    <w:rPr>
      <w:sz w:val="18"/>
      <w:szCs w:val="18"/>
    </w:rPr>
  </w:style>
  <w:style w:type="paragraph" w:styleId="9">
    <w:name w:val="header"/>
    <w:basedOn w:val="1"/>
    <w:next w:val="10"/>
    <w:qFormat/>
    <w:uiPriority w:val="0"/>
    <w:pPr>
      <w:pBdr>
        <w:bottom w:val="single" w:color="000000" w:sz="6" w:space="1"/>
      </w:pBdr>
      <w:snapToGrid w:val="0"/>
      <w:jc w:val="center"/>
    </w:pPr>
    <w:rPr>
      <w:sz w:val="18"/>
      <w:szCs w:val="18"/>
    </w:rPr>
  </w:style>
  <w:style w:type="paragraph" w:customStyle="1" w:styleId="10">
    <w:name w:val="TOC1"/>
    <w:basedOn w:val="11"/>
    <w:next w:val="1"/>
    <w:qFormat/>
    <w:uiPriority w:val="0"/>
    <w:pPr>
      <w:spacing w:before="120" w:after="120"/>
    </w:pPr>
    <w:rPr>
      <w:rFonts w:ascii="Calibri" w:hAnsi="Calibri"/>
      <w:caps/>
      <w:kern w:val="2"/>
      <w:sz w:val="28"/>
      <w:szCs w:val="28"/>
    </w:rPr>
  </w:style>
  <w:style w:type="paragraph" w:customStyle="1" w:styleId="11">
    <w:name w:val="Heading1"/>
    <w:basedOn w:val="1"/>
    <w:next w:val="1"/>
    <w:qFormat/>
    <w:uiPriority w:val="0"/>
    <w:pPr>
      <w:keepNext/>
      <w:keepLines/>
      <w:spacing w:before="340" w:after="330" w:line="576" w:lineRule="auto"/>
    </w:pPr>
    <w:rPr>
      <w:rFonts w:cs="Times New Roman"/>
      <w:b/>
      <w:bCs/>
      <w:kern w:val="44"/>
      <w:sz w:val="44"/>
      <w:szCs w:val="44"/>
    </w:rPr>
  </w:style>
  <w:style w:type="paragraph" w:styleId="12">
    <w:name w:val="toc 1"/>
    <w:next w:val="1"/>
    <w:uiPriority w:val="0"/>
    <w:pPr>
      <w:keepNext w:val="0"/>
      <w:keepLines w:val="0"/>
      <w:widowControl w:val="0"/>
      <w:spacing w:before="120" w:after="120" w:line="240" w:lineRule="auto"/>
      <w:jc w:val="left"/>
      <w:outlineLvl w:val="9"/>
    </w:pPr>
    <w:rPr>
      <w:rFonts w:ascii="Times New Roman" w:hAnsi="Times New Roman" w:eastAsia="宋体" w:cs="Times New Roman"/>
      <w:b/>
      <w:bCs/>
      <w:caps/>
      <w:kern w:val="2"/>
      <w:sz w:val="20"/>
      <w:szCs w:val="20"/>
      <w:lang w:val="en-US" w:eastAsia="zh-CN" w:bidi="ar-SA"/>
    </w:rPr>
  </w:style>
  <w:style w:type="paragraph" w:styleId="13">
    <w:name w:val="annotation subject"/>
    <w:basedOn w:val="6"/>
    <w:next w:val="6"/>
    <w:qFormat/>
    <w:uiPriority w:val="0"/>
    <w:rPr>
      <w:b/>
    </w:rPr>
  </w:style>
  <w:style w:type="paragraph" w:customStyle="1" w:styleId="16">
    <w:name w:val="BodyText"/>
    <w:basedOn w:val="1"/>
    <w:next w:val="1"/>
    <w:qFormat/>
    <w:uiPriority w:val="0"/>
    <w:pPr>
      <w:spacing w:before="100" w:beforeAutospacing="1" w:after="120"/>
    </w:pPr>
  </w:style>
  <w:style w:type="paragraph" w:customStyle="1" w:styleId="17">
    <w:name w:val="Heading2"/>
    <w:basedOn w:val="1"/>
    <w:next w:val="1"/>
    <w:qFormat/>
    <w:uiPriority w:val="0"/>
    <w:pPr>
      <w:keepNext/>
      <w:keepLines/>
      <w:spacing w:before="260" w:after="260" w:line="413" w:lineRule="auto"/>
    </w:pPr>
    <w:rPr>
      <w:rFonts w:ascii="Cambria" w:hAnsi="Cambria" w:cs="Times New Roman"/>
      <w:b/>
      <w:bCs/>
      <w:sz w:val="32"/>
      <w:szCs w:val="32"/>
    </w:rPr>
  </w:style>
  <w:style w:type="paragraph" w:customStyle="1" w:styleId="18">
    <w:name w:val="Heading3"/>
    <w:basedOn w:val="1"/>
    <w:next w:val="1"/>
    <w:qFormat/>
    <w:uiPriority w:val="0"/>
    <w:pPr>
      <w:keepNext/>
      <w:keepLines/>
      <w:spacing w:before="260" w:after="260" w:line="413" w:lineRule="auto"/>
      <w:jc w:val="both"/>
    </w:pPr>
    <w:rPr>
      <w:rFonts w:cs="Times New Roman"/>
      <w:b/>
      <w:bCs/>
      <w:kern w:val="2"/>
      <w:sz w:val="32"/>
      <w:szCs w:val="32"/>
    </w:rPr>
  </w:style>
  <w:style w:type="paragraph" w:customStyle="1" w:styleId="19">
    <w:name w:val="AnnotationText"/>
    <w:basedOn w:val="1"/>
    <w:qFormat/>
    <w:uiPriority w:val="0"/>
    <w:rPr>
      <w:kern w:val="2"/>
      <w:sz w:val="21"/>
      <w:szCs w:val="21"/>
    </w:rPr>
  </w:style>
  <w:style w:type="paragraph" w:customStyle="1" w:styleId="20">
    <w:name w:val="TOC3"/>
    <w:basedOn w:val="1"/>
    <w:next w:val="1"/>
    <w:qFormat/>
    <w:uiPriority w:val="0"/>
    <w:pPr>
      <w:spacing w:after="100" w:line="259" w:lineRule="auto"/>
      <w:ind w:left="440"/>
    </w:pPr>
    <w:rPr>
      <w:rFonts w:ascii="等线" w:eastAsia="等线"/>
      <w:sz w:val="22"/>
      <w:szCs w:val="22"/>
    </w:rPr>
  </w:style>
  <w:style w:type="paragraph" w:customStyle="1" w:styleId="21">
    <w:name w:val="PlainText"/>
    <w:basedOn w:val="1"/>
    <w:qFormat/>
    <w:uiPriority w:val="0"/>
    <w:pPr>
      <w:jc w:val="both"/>
    </w:pPr>
    <w:rPr>
      <w:rFonts w:ascii="宋体"/>
      <w:color w:val="000000"/>
      <w:kern w:val="2"/>
      <w:sz w:val="21"/>
      <w:szCs w:val="21"/>
    </w:rPr>
  </w:style>
  <w:style w:type="paragraph" w:customStyle="1" w:styleId="22">
    <w:name w:val="TOC2"/>
    <w:basedOn w:val="1"/>
    <w:next w:val="1"/>
    <w:qFormat/>
    <w:uiPriority w:val="0"/>
    <w:pPr>
      <w:spacing w:before="100" w:beforeAutospacing="1" w:after="100" w:afterAutospacing="1"/>
      <w:ind w:left="200" w:leftChars="200"/>
    </w:pPr>
  </w:style>
  <w:style w:type="paragraph" w:customStyle="1" w:styleId="23">
    <w:name w:val="HtmlNormal"/>
    <w:basedOn w:val="1"/>
    <w:qFormat/>
    <w:uiPriority w:val="0"/>
    <w:pPr>
      <w:spacing w:before="100" w:beforeAutospacing="1" w:after="100" w:afterAutospacing="1"/>
    </w:pPr>
    <w:rPr>
      <w:rFonts w:ascii="宋体"/>
    </w:rPr>
  </w:style>
  <w:style w:type="paragraph" w:customStyle="1" w:styleId="24">
    <w:name w:val="UserStyle_3"/>
    <w:basedOn w:val="1"/>
    <w:qFormat/>
    <w:uiPriority w:val="0"/>
    <w:pPr>
      <w:spacing w:before="100" w:beforeAutospacing="1" w:after="100" w:afterAutospacing="1"/>
    </w:pPr>
    <w:rPr>
      <w:rFonts w:ascii="宋体"/>
    </w:rPr>
  </w:style>
  <w:style w:type="paragraph" w:customStyle="1" w:styleId="25">
    <w:name w:val="UserStyle_4"/>
    <w:qFormat/>
    <w:uiPriority w:val="0"/>
    <w:pPr>
      <w:textAlignment w:val="baseline"/>
    </w:pPr>
    <w:rPr>
      <w:rFonts w:ascii="Times New Roman" w:hAnsi="Times New Roman" w:eastAsia="宋体" w:cs="Arial"/>
      <w:sz w:val="24"/>
      <w:szCs w:val="24"/>
      <w:lang w:val="en-US" w:eastAsia="zh-CN" w:bidi="ar-SA"/>
    </w:rPr>
  </w:style>
  <w:style w:type="paragraph" w:customStyle="1" w:styleId="26">
    <w:name w:val="UserStyle_5"/>
    <w:basedOn w:val="11"/>
    <w:next w:val="1"/>
    <w:qFormat/>
    <w:uiPriority w:val="0"/>
    <w:pPr>
      <w:spacing w:before="240" w:after="0" w:line="259" w:lineRule="auto"/>
    </w:pPr>
    <w:rPr>
      <w:rFonts w:ascii="等线 Light" w:eastAsia="等线 Light"/>
      <w:b w:val="0"/>
      <w:bCs w:val="0"/>
      <w:color w:val="2E74B5"/>
      <w:kern w:val="0"/>
      <w:sz w:val="32"/>
      <w:szCs w:val="32"/>
    </w:rPr>
  </w:style>
  <w:style w:type="character" w:customStyle="1" w:styleId="27">
    <w:name w:val="NormalCharacter"/>
    <w:qFormat/>
    <w:uiPriority w:val="0"/>
  </w:style>
  <w:style w:type="character" w:customStyle="1" w:styleId="28">
    <w:name w:val="UserStyle_2"/>
    <w:qFormat/>
    <w:uiPriority w:val="0"/>
    <w:rPr>
      <w:rFonts w:ascii="宋体" w:eastAsia="宋体" w:cs="宋体"/>
      <w:b/>
      <w:bCs/>
      <w:color w:val="000000"/>
      <w:sz w:val="20"/>
      <w:szCs w:val="20"/>
    </w:rPr>
  </w:style>
  <w:style w:type="character" w:customStyle="1" w:styleId="29">
    <w:name w:val="font41"/>
    <w:qFormat/>
    <w:uiPriority w:val="0"/>
    <w:rPr>
      <w:rFonts w:ascii="宋体" w:eastAsia="宋体" w:cs="宋体"/>
      <w:b/>
      <w:bCs/>
      <w:color w:val="000000"/>
      <w:sz w:val="22"/>
      <w:szCs w:val="22"/>
      <w:u w:val="none"/>
    </w:rPr>
  </w:style>
  <w:style w:type="character" w:customStyle="1" w:styleId="30">
    <w:name w:val="font11"/>
    <w:basedOn w:val="15"/>
    <w:qFormat/>
    <w:uiPriority w:val="0"/>
    <w:rPr>
      <w:rFonts w:ascii="宋体" w:eastAsia="宋体" w:cs="宋体"/>
      <w:b/>
      <w:bCs/>
      <w:color w:val="000000"/>
      <w:sz w:val="24"/>
      <w:szCs w:val="24"/>
      <w:u w:val="none"/>
    </w:rPr>
  </w:style>
  <w:style w:type="character" w:customStyle="1" w:styleId="31">
    <w:name w:val="font101"/>
    <w:basedOn w:val="15"/>
    <w:qFormat/>
    <w:uiPriority w:val="0"/>
    <w:rPr>
      <w:rFonts w:ascii="宋体" w:eastAsia="宋体" w:cs="宋体"/>
      <w:b/>
      <w:bCs/>
      <w:color w:val="000000"/>
      <w:sz w:val="16"/>
      <w:szCs w:val="16"/>
      <w:u w:val="none"/>
    </w:rPr>
  </w:style>
  <w:style w:type="character" w:customStyle="1" w:styleId="32">
    <w:name w:val="font21"/>
    <w:basedOn w:val="15"/>
    <w:qFormat/>
    <w:uiPriority w:val="0"/>
    <w:rPr>
      <w:rFonts w:ascii="Times New Roman" w:hAnsi="Times New Roman" w:cs="Times New Roman"/>
      <w:b/>
      <w:bCs/>
      <w:color w:val="000000"/>
      <w:sz w:val="24"/>
      <w:szCs w:val="24"/>
      <w:u w:val="none"/>
    </w:rPr>
  </w:style>
  <w:style w:type="character" w:customStyle="1" w:styleId="33">
    <w:name w:val="font31"/>
    <w:basedOn w:val="15"/>
    <w:qFormat/>
    <w:uiPriority w:val="0"/>
    <w:rPr>
      <w:rFonts w:ascii="宋体" w:eastAsia="宋体" w:cs="宋体"/>
      <w:b/>
      <w:bCs/>
      <w:color w:val="000000"/>
      <w:sz w:val="22"/>
      <w:szCs w:val="22"/>
      <w:u w:val="none"/>
    </w:rPr>
  </w:style>
  <w:style w:type="paragraph" w:customStyle="1" w:styleId="34">
    <w:name w:val="fontstyle0"/>
    <w:next w:val="7"/>
    <w:link w:val="35"/>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2"/>
      <w:szCs w:val="22"/>
      <w:u w:val="none" w:color="auto"/>
      <w:vertAlign w:val="baseline"/>
      <w:lang w:val="en-US" w:eastAsia="zh-CN" w:bidi="ar-SA"/>
    </w:rPr>
  </w:style>
  <w:style w:type="character" w:customStyle="1" w:styleId="35">
    <w:name w:val="fontstyle0 Char"/>
    <w:basedOn w:val="15"/>
    <w:link w:val="34"/>
    <w:uiPriority w:val="0"/>
    <w:rPr>
      <w:rFonts w:ascii="宋体" w:eastAsia="宋体" w:cs="Times New Roman"/>
      <w:snapToGrid/>
      <w:color w:val="auto"/>
      <w:spacing w:val="0"/>
      <w:w w:val="100"/>
      <w:kern w:val="0"/>
      <w:position w:val="0"/>
      <w:sz w:val="22"/>
      <w:szCs w:val="22"/>
      <w:u w:val="none" w:color="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56</Pages>
  <Words>5332</Words>
  <Characters>5556</Characters>
  <Lines>1422</Lines>
  <Paragraphs>693</Paragraphs>
  <TotalTime>22</TotalTime>
  <ScaleCrop>false</ScaleCrop>
  <LinksUpToDate>false</LinksUpToDate>
  <CharactersWithSpaces>5722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2023-12-25T09:59:00Z</dcterms:created>
  <dc:creator>Administrator</dc:creator>
  <cp:lastModifiedBy>舒德胜</cp:lastModifiedBy>
  <dcterms:modified xsi:type="dcterms:W3CDTF">2025-11-20T05:11:13Z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C7FBBC61758A46BB9659B083077B4191_13</vt:lpwstr>
  </property>
  <property fmtid="{D5CDD505-2E9C-101B-9397-08002B2CF9AE}" pid="4" name="KSOTemplateDocerSaveRecord">
    <vt:lpwstr>eyJoZGlkIjoiOTIxZGZiNzI0MjUyZDQ5MTkxMDMwNmU2ZmYxZjlmNjIiLCJ1c2VySWQiOiIzMzYzOTY2ODQifQ==</vt:lpwstr>
  </property>
</Properties>
</file>